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BE.2009.4 vom 13. März 2009</w:t>
      </w:r>
    </w:p>
    <w:p>
      <w:r>
        <w:t>Bundesstrafgericht, 2009-03-13, DE</w:t>
      </w:r>
    </w:p>
    <w:p>
      <w:r>
        <w:rPr>
          <w:b/>
        </w:rPr>
        <w:t xml:space="preserve">Quelle: </w:t>
      </w:r>
      <w:r>
        <w:t>https://mcp.opencaselaw.ch/entscheid/bstger_BE.2009.4</w:t>
      </w:r>
    </w:p>
    <w:p>
      <w:r>
        <w:t>FR: TPF BE.2009.4 du 13 mars 2009</w:t>
      </w:r>
    </w:p>
    <w:p>
      <w:r>
        <w:t>IT: TPF BE.2009.4 del 13 marzo 2009</w:t>
      </w:r>
    </w:p>
    <w:p>
      <w:pPr>
        <w:pStyle w:val="Heading2"/>
      </w:pPr>
      <w:r>
        <w:t>Regeste</w:t>
      </w:r>
    </w:p>
    <w:p>
      <w:r>
        <w:t>Entsiegelung (Art. 69 Abs. 3 BStP)</w:t>
      </w:r>
    </w:p>
    <w:p>
      <w:pPr>
        <w:pStyle w:val="Heading2"/>
      </w:pPr>
      <w:r>
        <w:t>Erwägungen</w:t>
      </w:r>
    </w:p>
    <w:p>
      <w:r>
        <w:rPr>
          <w:b/>
        </w:rPr>
        <w:t>E. 2</w:t>
      </w:r>
    </w:p>
    <w:p>
      <w:r>
        <w:t>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 Hinweis auf TPF BK_B 062/04 vom 7. Juni 2004 E. 2 sowie BE.2004.10 [BK_B 207/04] vom 22. April 2005 E. 2, jeweils m.w.H.).</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TPF BE.2006.7 vom 20. Februar 2007 E. 3.1 m.w.H.).</w:t>
      </w:r>
    </w:p>
    <w:p>
      <w:r>
        <w:t>- 5 -</w:t>
      </w:r>
    </w:p>
    <w:p>
      <w:r>
        <w:rPr>
          <w:b/>
        </w:rPr>
        <w:t>E. 3.2</w:t>
      </w:r>
    </w:p>
    <w:p>
      <w:r>
        <w:t>Die Gesuchstellerin führt zum Tatverdacht aus, dass B. „gemäss Erkennt- nissen der Bundeskriminalpolizei“ als Führungsmitglied des C. bezeichnet werde. Mutmassliche Exponenten und Sympathisanten dieser Organisation hätten seit mehr als zehn Jahren in unregelmässigen Abständen Anschläge mit zu USBV (unkonventionelle Spreng- und Brandvorrichtungen) umfunk- tionierter Pyrotechnik verübt. Diese Anschläge seien immer mit politischen Zielen, Forderungen, Solidaritäts- und Sympathiekundgebungen verbunden worden. Gemeinsamkeit dieser Anschläge seien Bekennerschreiben, die zu Publizitätszwecken anonym von öffentlichen Telefonkabinen via Tele- guide an ausgewählte Redaktionen verschickt würden (beispielsweise act. 1.6 bezüglich eines Brandanschlags gegen die D.-Vertretung in X. vom 5. Juni 2007). Auf einem Tatmittel des erwähnten Anschlages in X. habe eine DNA-Spur sichergestellt werden können, die B. zuzuordnen sei.</w:t>
      </w:r>
    </w:p>
    <w:p>
      <w:r>
        <w:rPr>
          <w:b/>
        </w:rPr>
        <w:t>E. 3.3</w:t>
      </w:r>
    </w:p>
    <w:p>
      <w:r>
        <w:t>Der Tatverdacht wird von der Gesuchsgegnerin nicht bestritten. Die I. Be- schwerdekammer kam zudem bereits in ihrem B. selber betreffenden Ent- siegelungsentscheid zum Schluss, dass gegen diesen ein hinreichender Tatverdacht bezüglich der Beteiligung an zwei mittels zu USBV umfunktio- nierter Pyrotechnik verübter Anschläge bestehe (TPF BE.2009.3 vom 13. März 2009 E. 3.2 und 3.3). Auf die entsprechenden Ausführungen kann an dieser Stelle verwiesen werden.</w:t>
      </w:r>
    </w:p>
    <w:p>
      <w:r>
        <w:rPr>
          <w:b/>
        </w:rPr>
        <w:t>E. 3.4</w:t>
      </w:r>
    </w:p>
    <w:p>
      <w:r>
        <w:t>Die genannten Umstände (namentlich die sich aufdrängende Vermutung, dass der beschuldigte B. auch über uneingeschränkten Zutritt in die Woh- nung in Z. verfügt) lassen denn auch vermuten, dass sich unter den sicher- gestellten Papieren und elektronischen Datenträgern Informationen befin- den, welche in der Untersuchung gegen diesen von Bedeutung sein könn- ten. Ob einzelne der sichergestellten Papiere und elektronischen Datenträ- ger für die Strafuntersuchung von Relevanz sind oder nicht, ist der zur Durchsuchung der fraglichen Unterlagen ermächtigten Behörde zu überlas- sen. Die für das Strafverfahren offensichtlich irrelevanten Unterlagen wird die Gesuchstellerin nach erfolgter Durchsuchung umgehend der Gesuchs- gegnerin auszuhändigen haben. Dieser steht es im Folgenden offen, die Frage nach der Relevanz von im Nachgang zur Durchsuchung mittels Ver- fügung beschlagnahmten Unterlagen auf dem Beschwerdeweg überprüfen zu lassen.</w:t>
      </w:r>
    </w:p>
    <w:p>
      <w:r>
        <w:rPr>
          <w:b/>
        </w:rPr>
        <w:t>E. 4</w:t>
      </w:r>
    </w:p>
    <w:p>
      <w:r>
        <w:t>Die Durchsuchung von Papieren ist mit grösster Schonung der Privatge- heimnisse und unter Wahrung des Berufsgeheimnisses im Sinne von Art. 77 BStP durchzuführen (Art. 69 Abs. 1 BStP). Die Gesuchsgegnerin verlangte anlässlich der Hausdurchsuchung ohne nähere Angaben von</w:t>
      </w:r>
    </w:p>
    <w:p>
      <w:r>
        <w:t>- 6 -</w:t>
      </w:r>
    </w:p>
    <w:p>
      <w:r>
        <w:t>Gründen die Siegelung der sichergestellten Papiere und elektronischen Da- tenträger (act. 1.4, S. 2).</w:t>
      </w:r>
    </w:p>
    <w:p>
      <w:r>
        <w:t>Falls der von einer Sicherstellung von Papieren und Datenträgern Betroffe- ne die Siegelung verlangt bzw. schutzwürdige Geheimhaltungsinteressen geltend macht, hat er die Obliegenheit, die Untersuchungsbehörde bei der thematischen Triage von Dokumenten zu unterstützen; auch hat er jene Aktenstücke zu benennen, die seiner Ansicht nach der Geheimhaltung und Versiegelung unterliegen (Urteil des Bundesgerichts 1S.5-8/2005 vom 26. September 2005 E. 7.6, vgl. hierzu auch das Urteil des Bundesgerichts 1B_200/2007 vom 15. Januar 2008 E. 2.6). Die blosse Einsprache gegen die Durchsuchung ohne jede weitere Äusserung zum Inhalt der Papiere und Datenträger vermag dieser Obliegenheit nicht Genüge zu tun. Die Un- tersuchungsbehörde wird in diesem Fall die Durchsuchung vornehmen und die allenfalls auftauchenden Geheimhaltungsinteressen von Amtes wegen berücksichtigen müssen.</w:t>
      </w:r>
    </w:p>
    <w:p>
      <w:r>
        <w:rPr>
          <w:b/>
        </w:rPr>
        <w:t>E. 5</w:t>
      </w:r>
    </w:p>
    <w:p>
      <w:r>
        <w:t>Nach dem Gesagten ist das Gesuch gutzuheissen und die Gesuchstellerin zu ermächtigen, die am 20. Januar 2009 versiegelten Unterlagen und elek- tronischen Datenträger der Gesuchsgegnerin zu entsiegeln und zu durch- suchen. Anlässlich der Durchsuchung werden diejenigen Papiere und Da- tenträger auszuscheiden und der Inhaberin unverzüglich zurückzugeben sein, die mit dem Gegenstand der Strafuntersuchung offensichtlich in kei- nem Zusammenhang stehen und keinen Bezug zu den in Frage stehenden Straftaten haben. Die Gesuchstellerin wird danach mittels beschwerdefähi- ger Verfügung zu entscheiden haben, welche Papiere und Datenträger sie beschlagnahmeweise zu den Akten nehmen will (vgl. TPF BE.2008.2 vom 18. Februar 2008).</w:t>
      </w:r>
    </w:p>
    <w:p>
      <w:r>
        <w:rPr>
          <w:b/>
        </w:rPr>
        <w:t>E. 6</w:t>
      </w:r>
    </w:p>
    <w:p>
      <w:r>
        <w:t>Die Gesuchsgegnerin hat zwar im vorliegenden Verfahren keinen Antrag gestellt. Sie hat das Verfahren jedoch mit ihrer Einsprache gegen die Durchsuchung verursacht. Bei diesem Ausgang des Verfahrens hat sie die Gerichtskosten zu tragen (Art. 245 Abs. 1 BStP i.V.m. Art. 66 Abs. 1 BGG). Die Gerichtsgebühr wird auf Fr. 1’500.-- festgesetzt (Art. 245 Abs. 2 BStP und Art. 3 des Reglements vom 11. Februar 2004 über die Gerichtsgebüh- ren vor dem Bundesstrafgericht; SR 173.711.32).</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