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BE.2009.20 vom 17. November 2009</w:t>
      </w:r>
    </w:p>
    <w:p>
      <w:r>
        <w:t>Bundesstrafgericht, 2009-11-17, DE</w:t>
      </w:r>
    </w:p>
    <w:p>
      <w:r>
        <w:rPr>
          <w:b/>
        </w:rPr>
        <w:t xml:space="preserve">Quelle: </w:t>
      </w:r>
      <w:r>
        <w:t>https://mcp.opencaselaw.ch/entscheid/bstger_BE.2009.20</w:t>
      </w:r>
    </w:p>
    <w:p>
      <w:r>
        <w:t>FR: TPF BE.2009.20 du 17 novembre 2009</w:t>
      </w:r>
    </w:p>
    <w:p>
      <w:r>
        <w:t>IT: TPF BE.2009.20 del 17 novembre 2009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Februar 2008);</w:t>
      </w:r>
    </w:p>
    <w:p>
      <w:r>
        <w:t>- keine Gerichtskosten erhoben werden, nachdem sich die Parteien im Sinne der Verfahrensökonomie auf eine pragmatische Vorgehensweise zur Durchsuchung der gespiegelten und versiegelten Daten unter Wahrung al- lenfalls bestehender Geheimhaltungsinteressen einigen konnten (Art. 25 Abs. 4 VStrR i.V.m. Art. 66 Abs. 1 Satz 2 BGG);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