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BE.2008.30 vom 19. August 2009</w:t>
      </w:r>
    </w:p>
    <w:p>
      <w:r>
        <w:t>Bundesstrafgericht, 2009-08-19, IT</w:t>
      </w:r>
    </w:p>
    <w:p>
      <w:r>
        <w:rPr>
          <w:b/>
        </w:rPr>
        <w:t xml:space="preserve">Quelle: </w:t>
      </w:r>
      <w:r>
        <w:t>https://mcp.opencaselaw.ch/entscheid/bstger_BE.2008.30</w:t>
      </w:r>
    </w:p>
    <w:p>
      <w:r>
        <w:t>FR: TPF BE.2008.30 du 19 août 2009</w:t>
      </w:r>
    </w:p>
    <w:p>
      <w:r>
        <w:t>IT: TPF BE.2008.30 del 19 agosto 2009</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w:t>
      </w:r>
    </w:p>
    <w:p>
      <w:r>
        <w:t>- 5 -</w:t>
      </w:r>
    </w:p>
    <w:p>
      <w:r>
        <w:t>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1B_292/2007 del 28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