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BE.2008.26 vom 19. August 2009</w:t>
      </w:r>
    </w:p>
    <w:p>
      <w:r>
        <w:t>Bundesstrafgericht, 2009-08-19, IT</w:t>
      </w:r>
    </w:p>
    <w:p>
      <w:r>
        <w:rPr>
          <w:b/>
        </w:rPr>
        <w:t xml:space="preserve">Quelle: </w:t>
      </w:r>
      <w:r>
        <w:t>https://mcp.opencaselaw.ch/entscheid/bstger_BE.2008.26</w:t>
      </w:r>
    </w:p>
    <w:p>
      <w:r>
        <w:t>FR: TPF BE.2008.26 du 19 août 2009</w:t>
      </w:r>
    </w:p>
    <w:p>
      <w:r>
        <w:t>IT: TPF BE.2008.26 del 19 agosto 2009</w:t>
      </w:r>
    </w:p>
    <w:p>
      <w:pPr>
        <w:pStyle w:val="Heading2"/>
      </w:pPr>
      <w:r>
        <w:t>Regeste</w:t>
      </w:r>
    </w:p>
    <w:p>
      <w:r>
        <w:t>Richiesta di 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w:t>
      </w:r>
    </w:p>
    <w:p>
      <w:r>
        <w:t>- 5 -</w:t>
      </w:r>
    </w:p>
    <w:p>
      <w:r>
        <w:t>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1B_290/2007 del 28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ai singoli in- carti.</w:t>
      </w:r>
    </w:p>
    <w:p>
      <w:r>
        <w:rPr>
          <w:b/>
        </w:rPr>
        <w:t>E. 4</w:t>
      </w:r>
    </w:p>
    <w:p>
      <w:r>
        <w:t>La presente fattispecie concerne tutti i documenti relativi all’anno contabile 1998. Giova rammentare che questi atti si riferiscono allo studio legale E., nel quale B. ha esercitato dal 1986, successivamente divenuto studio legale D., del quale A. era titolare fino alla fine del 2000, di modo che la tutela del segreto professionale può essere data solo per una minima parte degli atti in questione (v. sentenza del Tribunale federale 1B_288/2007 citata, con- sid. 3.6). Alla luce di tutto quanto esposto, la I Corte dei reclami penali ha proceduto ad una nuova e dettagliata cernita degli incarti in oggetto ed ha deciso quanto segue:</w:t>
      </w:r>
    </w:p>
    <w:p>
      <w:r>
        <w:t>S361: esso contiene centinaia di note di onorario saldate nel 1998. Il Tribu- nale federale ha affermato che l’argomento della mole di lavoro non è decisi- vo, ritenendo nel contempo che, essendo la tutela del segreto professionale di massima esclusa nella fattispecie, la documentazione in oggetto, decisiva per l’inchiesta, deve essere versata agli atti, di principio in forma non anoni-</w:t>
      </w:r>
    </w:p>
    <w:p>
      <w:r>
        <w:t>- 6 -</w:t>
      </w:r>
    </w:p>
    <w:p>
      <w:r>
        <w:t>mizzata. La I Corte dei reclami penali del Tribunale penale federale, nel ri- spetto del potere di apprezzamento riconosciutole dall’Alta Corte (v. senten- za 1B_288/2007 del 30 settembre 2008, consid. 3 e 4), si è limitata ad ano- nimizzare unicamente i documenti che rientrano chiaramente e di primo ac- chito (prima facie) nell’attività tipica dell’avvocato e del notaio.</w:t>
      </w:r>
    </w:p>
    <w:p>
      <w:r>
        <w:t>S369: l’incarto contiene estratti ed avvisi di addebito e di accredito relativi al conto 1 per l’anno 1998. Il Tribunale federale, ribadite le suesposte argomen- tazioni, ha ritenuto che i documenti in oggetto devono, di massima, essere versati agli atti in forma integrale, ricordando inoltre che solo sulla base degli estratti intermediari, nei quali sono indicate semmai le causali delle singole transazioni o altre informazioni, l’AFC potrà ricostruire compiutamente i flussi di denaro confluiti nella sostanza e nei redditi imponibili degli opponenti. Agendo nel rispetto del potere di apprezzamento riconosciutole dall’Alta Cor- te, la scrivente autorità ha proceduto ad una minuziosa e dettagliata verifica della documentazione in oggetto. Ciò ha permesso di constatare come essa sia costituita da decine di estratti conto e di ordini di pagamento, in cui gli in- dagati non hanno operato alcuna distinzione tra i documenti concernenti le attività tipiche dell’avvocato e quelle estranee. Alla luce di quanto esposto, nonché dell’unione nella medesima persona delle funzioni di amministratore e di avvocato ed il coinvolgimento dei legali nell’inchiesta, la suddetta distin- zione non può essere operata in maniera chiara, a maggior ragione visto che, di massima, non si è più in presenza di un segreto professionale tutela- bile. L’interesse pubblico a perseguire le gravi e sospettate infrazioni prevale sulla tutela del segreto professionale. L’integralità della documentazione dell’incarto in oggetto è pertanto versata agli atti dell’inchiesta; spetterà poi all’AFC esaminare tutti i documenti per verificare se, effettivamente, i conti dello studio legale sono completi riguardo ai redditi conseguiti e a quelli di- chiarati. Si rammenta che, ad ogni modo, l’utilizzo o la trasmissione a terzi, per altre procedure, di eventuali documenti o informazioni concernenti clienti degli indagati è proibito in assenza di un’espressa autorizzazione rilasciata dalla scrivente autorità.</w:t>
      </w:r>
    </w:p>
    <w:p>
      <w:r>
        <w:t>S378/S381/S391: questi incarti si compongono di centinaia di pagine di listati contabili relativi al 1998 e in parte al 1997. Il Tribunale federale, precisando che l’utilità della documentazione in oggetto per l’inchiesta, anche se esigua, non può comunque essere negata, che spetterà alla ricorrente effettuare tut- te le verifiche ritenute necessarie e ribadito che l’argomento della mole di la- voro non è decisivo, ha affermato che pure questi documenti devono essere versati agli atti, di massima in forma non anonimizzata. Agendo nel rispetto del potere di apprezzamento riconosciutole dall’Alta Corte, la scrivente auto- rità ha proceduto ad una minuziosa e dettagliata verifica della documenta- zione in oggetto. Ciò ha permesso di constatare come, nella stragrande maggioranza, essa sia costituita da listati piuttosto voluminosi nei quali figu-</w:t>
      </w:r>
    </w:p>
    <w:p>
      <w:r>
        <w:t>- 7 -</w:t>
      </w:r>
    </w:p>
    <w:p>
      <w:r>
        <w:t>rano tutte le operazioni relative alle diverse voci contabili e in cui gli indagati non hanno operato alcuna distinzione tra i documenti concernenti le attività tipiche dell’avvocato e quelle estranee. Alla luce di quanto esposto, nonché dell’unione nella medesima persona delle funzioni di amministratore e di av- vocato ed il coinvolgimento dei legali nell’inchiesta, la suddetta distinzione non può essere operata in maniera chiara, a maggior ragione visto che, di massima, non si è più in presenza di un segreto professionale tutelabile. L’interesse pubblico a perseguire le gravi e sospettate infrazioni prevale sulla tutela del segreto professionale. L’integralità della documentazione degli in- carti in oggetto è pertanto versata agli atti dell’inchiesta; spetterà poi all’AFC esaminare tutti i documenti per verificare se, effettivamente, i conti dello stu- dio legale sono completi riguardo ai redditi conseguiti e a quelli dichiarati. Si rammenta che, ad ogni modo, l’utilizzo o la trasmissione a terzi, per altre procedure, di eventuali documenti o informazioni concernenti clienti degli in- dagati è proibito in assenza di un’espressa autorizzazione rilasciata dalla scrivente autorità.</w:t>
      </w:r>
    </w:p>
    <w:p>
      <w:r>
        <w:t>S379: esso contiene il libro di cassa nonché le pezze giustificative dei movi- menti di cassa per l’anno 1998. Il Tribunale federale ha affermato che la tesi della scrivente autorità, fondata su un criterio meramente quantitativo e sul fatto che si sarebbe in presenza di documenti soggetti al segreto professio- nale, senza tuttavia effettivamente procedere al relativo esame, non può es- sere avallata, a maggior ragione visto che, di massima, non si è in presenza di un segreto professionale tutelabile. L’Alta Corte, ribadendo che spetterà alla AFC esaminare tutti i documenti per verificare se i conti dello studio sono completi riguardo ai redditi conseguiti e a quelli dichiarati ha ritenuto che, vi- sta l’utilità delle documentazione in oggetto per l’inchiesta, essa deve essere versata agli atti, di massima in forma non anonimizzata. Agendo nel rispetto del potere di apprezzamento riconosciutole dall’Alta Corte, la scrivente auto- rità ha proceduto ad una minuziosa e dettagliata verifica dei documenti in oggetto. Per quanto attiene al libro di cassa ciò ha permesso di constatare come in esso figurino un numero rilevante di registrazioni per le quali gli in- dagati non hanno operato alcuna distinzione tra i documenti concernenti le attività tipiche dell’avvocato e quelle estranee. Alla luce di quanto esposto, nonché dell’unione nella medesima persona delle funzioni di amministratore e di avvocato ed il coinvolgimento dei legali nell’inchiesta, la suddetta distin- zione non può essere operata in maniera chiara, a maggior ragione visto che, di massima, non si è più in presenza di un segreto professionale tutela- bile. L’interesse pubblico a perseguire le gravi e sospettate infrazioni prevale sulla tutela del segreto professionale. Per quanto concerne le pezze giustifi- cative, esse si riferiscono in gran parte ad esborsi che non hanno nessuna relazione con l’esercizio dell’attività sottoposta al segreto professionale. L’integralità della documentazione è pertanto versata agli atti dell’inchiesta. Si rammenta che, ad ogni modo, l’utilizzo o la trasmissione a terzi, per altre</w:t>
      </w:r>
    </w:p>
    <w:p>
      <w:r>
        <w:t>- 8 -</w:t>
      </w:r>
    </w:p>
    <w:p>
      <w:r>
        <w:t>procedure, di eventuali documenti o informazioni concernenti clienti degli in- dagati è proibito in assenza di un’espressa autorizzazione rilasciata dalla scrivente autorità.</w:t>
      </w:r>
    </w:p>
    <w:p>
      <w:r>
        <w:t>- 9 -</w:t>
      </w:r>
    </w:p>
    <w:p>
      <w:r>
        <w:t>Per questi motivi, la I Corte dei reclami penali pronuncia: 1. I seguenti incarti devono essere versati agli atti, in parte in forma anonimiz- zata, ai sensi del considerando 4: S361, S369, S378, S381, S391, S379. 2. L’utilizzo o la trasmissione a terzi, per altre procedure, di documenti o infor- mazioni concernenti clienti degli indagati provenienti dagli atti di cui al pun- to 1 del presente dispositivo è proibito in assenza di nuove decisioni da parte della I Corte dei reclami penali. 3. 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