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BE.2008.20 vom 19. August 2009</w:t>
      </w:r>
    </w:p>
    <w:p>
      <w:r>
        <w:t>Bundesstrafgericht, 2009-08-19, IT</w:t>
      </w:r>
    </w:p>
    <w:p>
      <w:r>
        <w:rPr>
          <w:b/>
        </w:rPr>
        <w:t xml:space="preserve">Quelle: </w:t>
      </w:r>
      <w:r>
        <w:t>https://mcp.opencaselaw.ch/entscheid/bstger_BE.2008.20</w:t>
      </w:r>
    </w:p>
    <w:p>
      <w:r>
        <w:t>FR: TPF BE.2008.20 du 19 août 2009</w:t>
      </w:r>
    </w:p>
    <w:p>
      <w:r>
        <w:t>IT: TPF BE.2008.20 del 19 agosto 2009</w:t>
      </w:r>
    </w:p>
    <w:p>
      <w:pPr>
        <w:pStyle w:val="Heading2"/>
      </w:pPr>
      <w:r>
        <w:t>Regeste</w:t>
      </w:r>
    </w:p>
    <w:p>
      <w:r>
        <w:t>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 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w:t>
      </w:r>
    </w:p>
    <w:p>
      <w:r>
        <w:t>- 5 -</w:t>
      </w:r>
    </w:p>
    <w:p>
      <w:r>
        <w:t>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Nella sua sentenza 1B_284/2007 del 27 novembre 2008, il Tribunale federa- le ha per l’essenziale ripreso le argomentazioni sviluppate nelle sue decisioni 1B_47/2007 del 28 giugno 2007 e 1B_288/2007 del 30 settembre 2008, pre- cisando come anche nella fattispecie l’unione nella medesima persona delle funzioni di amministratore e di avvocato non permettesse più di distinguere chiaramente quanto rientra in ciascun tipo di attività, di modo che il richiamo alla tutela del segreto professionale dell’avvocato è di massima escluso. L’Alta Corte ha sottolineato che, visto il coinvolgimento dei legali nell’inchiesta e il fatto che gran parte dei documenti concernono attività estranee a quella tipica dell’avvocato e che tale distinzione non può essere operata in maniera chiara, in casu l’interesse pubblico a perseguire le gravi sospettate infrazioni prevale sulla tutela del segreto professionale, per di più invocato in modo generico ed essendo peraltro manifesto che A. in nessun caso poteva invocarlo. Essa ha quindi ritenuto che un’eventuale anonimizza- zione potrebbe limitarsi a determinati documenti, precisando che rientra co- munque nel potere di apprezzamento della I Corte dei reclami penali espri- mersi in merito (v. sentenza 1B_288/2007 citata, consid. 3 e 4). Il Tribunale federale ha infine formulato delle osservazioni puntuali in merito ai singoli in- carti.</w:t>
      </w:r>
    </w:p>
    <w:p>
      <w:r>
        <w:rPr>
          <w:b/>
        </w:rPr>
        <w:t>E. 4</w:t>
      </w:r>
    </w:p>
    <w:p>
      <w:r>
        <w:t>Le spese giudiziarie e le indennità per spese ripetibili del presente giudizio saranno fissate mediante decisione ulteriore.</w:t>
      </w:r>
    </w:p>
    <w:p>
      <w:r>
        <w:t>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