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BE.2008.2 vom 18. Februar 2008</w:t>
      </w:r>
    </w:p>
    <w:p>
      <w:r>
        <w:t>Bundesstrafgericht, 2008-02-18, DE</w:t>
      </w:r>
    </w:p>
    <w:p>
      <w:r>
        <w:rPr>
          <w:b/>
        </w:rPr>
        <w:t xml:space="preserve">Quelle: </w:t>
      </w:r>
      <w:r>
        <w:t>https://mcp.opencaselaw.ch/entscheid/bstger_BE.2008.2</w:t>
      </w:r>
    </w:p>
    <w:p>
      <w:r>
        <w:t>FR: TPF BE.2008.2 du 18 février 2008</w:t>
      </w:r>
    </w:p>
    <w:p>
      <w:r>
        <w:t>IT: TPF BE.2008.2 del 18 febbraio 2008</w:t>
      </w:r>
    </w:p>
    <w:p>
      <w:pPr>
        <w:pStyle w:val="Heading2"/>
      </w:pPr>
      <w:r>
        <w:t>Regeste</w:t>
      </w:r>
    </w:p>
    <w:p>
      <w:r>
        <w:t>Entsiegelung (Art. 69 Abs. 3 BStP)</w:t>
      </w:r>
    </w:p>
    <w:p>
      <w:pPr>
        <w:pStyle w:val="Heading2"/>
      </w:pPr>
      <w:r>
        <w:t>Erwägungen</w:t>
      </w:r>
    </w:p>
    <w:p>
      <w:r>
        <w:rPr>
          <w:b/>
        </w:rPr>
        <w:t>E. 12</w:t>
      </w:r>
    </w:p>
    <w:p>
      <w:r>
        <w:t>Februar 2008 erklärte, dass aufgrund des Verzichts auf Siegelung die Angelegenheit vor der I. Beschwerdekammer zufolge Gegenstandslosigkeit abgeschrieben werden könne, wobei ihm keine Verfahrenskosten zu über- binden seien (act. 4);</w:t>
      </w:r>
    </w:p>
    <w:p>
      <w:r>
        <w:t>- die Bundesanwaltschaft der I. Beschwerdekammer in ihrer Eingabe vom</w:t>
      </w:r>
    </w:p>
    <w:p>
      <w:r>
        <w:rPr>
          <w:b/>
        </w:rPr>
        <w:t>E. 14</w:t>
      </w:r>
    </w:p>
    <w:p>
      <w:r>
        <w:t>Februar 2008 beantragte, das Entsiegelungsgesuch sei gegenstandslos zu erklären, wobei dem Gesuchsgegner die Kosten zu überbinden seien, da dieser das Entsiegelungsverfahren veranlasst habe (act. 6);</w:t>
      </w:r>
    </w:p>
    <w:p>
      <w:r>
        <w:t>- das Verfahren demnach infolge des gegenüber der I. Beschwerdekammer schriftlich erklärten Verzichts des Gesuchsgegners als erledigt abgeschrieben werden kann;</w:t>
      </w:r>
    </w:p>
    <w:p>
      <w:r>
        <w:t>- die Gesuchstellerin deshalb ermächtigt ist, die am 1. Februar 2008 sicherge- stellten Unterlagen zu durchsuchen, und danach mittels beschwerdefähiger Verfügung zu entscheiden haben wird, welche Papiere und Datenträger sie beschlagnahmeweise zu den Akten nehmen will;</w:t>
      </w:r>
    </w:p>
    <w:p>
      <w:r>
        <w:t>- der Gesuchsgegner somit als unterliegende Partei gilt, welche grundsätzlich kostenpflichtig ist (Art. 245 Abs. 1 BStP i.V.m. Art. 66 Abs. 1 Satz 1 BGG);</w:t>
      </w:r>
    </w:p>
    <w:p>
      <w:r>
        <w:t>- vorliegend jedoch auf die Erhebung von Gerichtskosten verzichtet wird, da aus den Akten nicht hervorgeht, dass der Gesuchsgegner als Inhaber der be- troffenen Papiere gemäss Art. 69 Abs. 3 BStP auf die ihm zustehenden Be- schwerde- und Einspracherechte aufmerksam gemacht wurde, die entspre- chende Bestätigung auf dem Hausdurchsuchungsbefehl (act. 1.3) entgegen den Ausführungen der Gesuchstellerin auch nicht durch ihn, sondern durch seine Freundin unterzeichnet wurde und der Gesuchsgegner anlässlich der Befragung durch die Polizei zwar über die Hausdurchsuchung (act. 1.2), nicht jedoch über die Sicherstellung von Unterlagen informiert wurde (Art. 245 Abs. 1 BStP i.V.m. Art. 66 Abs. 1 Satz 2 BGG);</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