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BE.2008.18 vom 19. August 2009</w:t>
      </w:r>
    </w:p>
    <w:p>
      <w:r>
        <w:t>Bundesstrafgericht, 2009-08-19, IT</w:t>
      </w:r>
    </w:p>
    <w:p>
      <w:r>
        <w:rPr>
          <w:b/>
        </w:rPr>
        <w:t xml:space="preserve">Quelle: </w:t>
      </w:r>
      <w:r>
        <w:t>https://mcp.opencaselaw.ch/entscheid/bstger_BE.2008.18</w:t>
      </w:r>
    </w:p>
    <w:p>
      <w:r>
        <w:t>FR: TPF BE.2008.18 du 19 août 2009</w:t>
      </w:r>
    </w:p>
    <w:p>
      <w:r>
        <w:t>IT: TPF BE.2008.18 del 19 agosto 2009</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w:t>
      </w:r>
    </w:p>
    <w:p>
      <w:r>
        <w:t>- 5 -</w:t>
      </w:r>
    </w:p>
    <w:p>
      <w:r>
        <w:t>go/Basilea/Ginevra 2005, n. 31 e segg. ad art. 13 LLCA; OBERHOLZER, Bas- ler Kommentar, Basilea 2003, n. 13 ad art. 321 CP; TRECHSEL, Schweizeri- sches Strafgesetzbuch, Kurzkommentar,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1B_283/2007 del 27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 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anonimizzazione potreb- be limitarsi a determinati documenti, precisando che rientra comunque nel potere di apprezzamento della I Corte dei reclami penali esprimersi in merito (v. sentenza 1B_288/2007 citata, consid. 3 e 4). Il Tribunale federale ha infi- ne formulato delle osservazioni puntuali in merito ai singoli incarti.</w:t>
      </w:r>
    </w:p>
    <w:p>
      <w:r>
        <w:rPr>
          <w:b/>
        </w:rPr>
        <w:t>E. 4</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