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BE.2007.9 vom 28. Januar 2008</w:t>
      </w:r>
    </w:p>
    <w:p>
      <w:r>
        <w:t>Bundesstrafgericht, 2008-01-28, DE</w:t>
      </w:r>
    </w:p>
    <w:p>
      <w:r>
        <w:rPr>
          <w:b/>
        </w:rPr>
        <w:t xml:space="preserve">Quelle: </w:t>
      </w:r>
      <w:r>
        <w:t>https://mcp.opencaselaw.ch/entscheid/bstger_BE.2007.9</w:t>
      </w:r>
    </w:p>
    <w:p>
      <w:r>
        <w:t>FR: TPF BE.2007.9 du 28 janvier 2008</w:t>
      </w:r>
    </w:p>
    <w:p>
      <w:r>
        <w:t>IT: TPF BE.2007.9 del 28 gennaio 2008</w:t>
      </w:r>
    </w:p>
    <w:p>
      <w:pPr>
        <w:pStyle w:val="Heading2"/>
      </w:pPr>
      <w:r>
        <w:t>Regeste</w:t>
      </w:r>
    </w:p>
    <w:p>
      <w:r>
        <w:t>Entsiegelung (Art. 50 Abs. 3 VStrR)</w:t>
      </w:r>
    </w:p>
    <w:p>
      <w:pPr>
        <w:pStyle w:val="Heading2"/>
      </w:pPr>
      <w:r>
        <w:t>Erwägungen</w:t>
      </w:r>
    </w:p>
    <w:p>
      <w:r>
        <w:rPr>
          <w:b/>
        </w:rPr>
        <w:t>E. 3</w:t>
      </w:r>
    </w:p>
    <w:p>
      <w:r>
        <w:t>Art. 190 Abs. 2 DBG definiert schwere Steuerwiderhandlungen insbesonde- re als die fortgesetzte Hinterziehung grosser Steuerbeträge und die Steu- ervergehen. Die Gesuchstellerin wirft den Beschuldigten vor, der öffentli- chen Hand ab 1996 zu eigenen Gunsten Steuern hinterzogen zu haben.</w:t>
      </w:r>
    </w:p>
    <w:p>
      <w:r>
        <w:t>- 4 -</w:t>
      </w:r>
    </w:p>
    <w:p>
      <w:r>
        <w:t>Der Gesuchsgegner 2 soll ausserdem bei Ausübung der Tätigkeit als Treu- händer Gehilfenschaft zur Steuerhinterziehung von Dritten geleistet haben.</w:t>
      </w:r>
    </w:p>
    <w:p>
      <w:r>
        <w:t>Die Gesuchstellerin führt unwidersprochen aus, die Gesuchsgegnerin 1 habe im Zeitraum 1997-2004 Aktien ausländischer Unternehmen gehalten, welche in den der Steuerverwaltung eingereichten Abschlüssen nie aufge- führt worden seien; auch sei nie ein Ertrag deklariert worden (act. 1 S. 3, act. 1.4). Die Gesuchsgegnerin 1 hält ausserdem ein bisher offenbar nicht deklariertes Konto bei der D. in Y., welches per 31. Juli 2000 im Betrag von rund CAD 35,4 Mio. werthaltig war (act. 1.5). Auch der Gesuchsgegner 2 hält bisher offenbar nicht deklarierte ausländische Konti, wie sich aus ei- nem von ihm unterzeichneten Zahlungsauftrag über USD 1 Mio. vom</w:t>
      </w:r>
    </w:p>
    <w:p>
      <w:r>
        <w:rPr>
          <w:b/>
        </w:rPr>
        <w:t>E. 5</w:t>
      </w:r>
    </w:p>
    <w:p>
      <w:r>
        <w:t>Das Gesuch ist nach dem Gesagten gutzuheissen. Die Entsiegelung ist somit zu gewähren und der Gesuchstellerin ist zu gestatten, die sicherge- stellten Unterlagen im Beisein der Gesuchsgegner zu durchsuchen.</w:t>
      </w:r>
    </w:p>
    <w:p>
      <w:r>
        <w:rPr>
          <w:b/>
        </w:rPr>
        <w:t>E. 6</w:t>
      </w:r>
    </w:p>
    <w:p>
      <w:r>
        <w:t>Art 50 Abs. 3 VStrR verweist für das Entsiegelungsverfahren auf Art. 25 Abs. 1 VStrR, mithin auf das Beschwerdeverfahren. Gemäss Art. 25 Abs. 4 VStrR bestimmt sich die Kostenpflicht im Beschwerdeverfahren vor der Be-</w:t>
      </w:r>
    </w:p>
    <w:p>
      <w:r>
        <w:t>- 6 -</w:t>
      </w:r>
    </w:p>
    <w:p>
      <w:r>
        <w:t>schwerdekammer nach den Art. 62-68 BGG. Die unterliegenden Gesuchs- gegner haben somit die Kosten zu gleichen Teilen und unter solidarischer Haftung zu tragen (Art. 66 Abs. 1 und 5 BGG). Die Gerichtsgebühr wird auf Fr. 2’000.-- festgesetzt (Art. 3 des Reglements über die Gerichtsgebühren vor dem Bundesstrafgericht vom 11. Februar 2004, SR 173.711.32).</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