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BE.2007.7 vom 30. Juli 2007</w:t>
      </w:r>
    </w:p>
    <w:p>
      <w:r>
        <w:t>Bundesstrafgericht, 2007-07-30, DE</w:t>
      </w:r>
    </w:p>
    <w:p>
      <w:r>
        <w:rPr>
          <w:b/>
        </w:rPr>
        <w:t xml:space="preserve">Quelle: </w:t>
      </w:r>
      <w:r>
        <w:t>https://mcp.opencaselaw.ch/entscheid/bstger_BE.2007.7</w:t>
      </w:r>
    </w:p>
    <w:p>
      <w:r>
        <w:t>FR: TPF BE.2007.7 du 30 juillet 2007</w:t>
      </w:r>
    </w:p>
    <w:p>
      <w:r>
        <w:t>IT: TPF BE.2007.7 del 30 luglio 2007</w:t>
      </w:r>
    </w:p>
    <w:p>
      <w:pPr>
        <w:pStyle w:val="Heading2"/>
      </w:pPr>
      <w:r>
        <w:t>Regeste</w:t>
      </w:r>
    </w:p>
    <w:p>
      <w:r>
        <w:t>Entsiegelung (Art. 69 Abs. 3 BStP)</w:t>
      </w:r>
    </w:p>
    <w:p>
      <w:pPr>
        <w:pStyle w:val="Heading2"/>
      </w:pPr>
      <w:r>
        <w:t>Erwägungen</w:t>
      </w:r>
    </w:p>
    <w:p>
      <w:r>
        <w:rPr>
          <w:b/>
        </w:rPr>
        <w:t>E. 2</w:t>
      </w:r>
    </w:p>
    <w:p>
      <w:r>
        <w:t>Gemäss konstanter Praxis der I. Beschwerdekammer entscheidet diese bei Entsiegelungsgesuchen in einem ersten Schritt, ob die Durchsuchung im Grundsatz zulässig ist und – bejahendenfalls in einem zweiten Schritt – ob die Voraussetzungen für eine Entsiegelung erfüllt sind. Von einer Durchsu- chung von Papieren, bei der es sich um eine strafprozessuale Zwangs- massnahme handelt, wird gesprochen, wenn Schriftstücke oder Datenträ- ger im Hinblick auf ihren Inhalt oder ihre Beschaffenheit durchgelesen bzw. besichtigt werden, um ihre Beweiseignung festzustellen und sie allenfalls beschlagnahmeweise zu den Akten zu nehmen. Eine derartige Durchsu- chung ist nur zulässig, wenn ein hinreichender Tatverdacht besteht, anzu- nehmen ist, dass sich unter den Papieren Schriften befinden, die für die Untersuchung von Bedeutung sind (Art. 69 Abs. 2 BStP) und der Grundsatz der Verhältnismässigkeit respektiert wird. Die Durchsuchung von Papieren ist dabei mit grösster Schonung der Privatgeheimnisse und unter Wahrung des Berufsgeheimnisses im Sinne von Art. 77 BStP durchzuführen (Art. 69 Abs. 1 BStP; vgl. zum Ganzen TPF BK_B 062/04 vom 7. Juni 2004 E. 2 sowie BK_B 207/04 vom 22. April 2005 E. 2, jeweils m.w.H.).</w:t>
      </w:r>
    </w:p>
    <w:p>
      <w:r>
        <w:rPr>
          <w:b/>
        </w:rPr>
        <w:t>E. 3.1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beachten ist schliesslich, dass auch mit Bezug auf den hinreichenden Tat- verdacht die vom Bundesgericht zum dringenden Tatverdacht entwickelte Rechtsprechung sachgemäss gelten muss, wonach sich dieser im Verlaufe des Verfahrens konkretisieren und dergestalt verdichten muss, dass eine Verurteilung immer wahrscheinlicher wird. Die Verdachtslage unterliegt mit anderen Worten einer umso strengeren Überprüfung, „je weiter das Verfah- ren fortgeschritten ist“. Allerdings ist festzuhalten, dass die diesbezüglichen Anforderungen nicht überspannt werden dürfen (vgl. zum Ganzen TPF BE.2006.7 vom 20. Februar 2007 E. 3.1 m.w.H.).</w:t>
      </w:r>
    </w:p>
    <w:p>
      <w:r>
        <w:rPr>
          <w:b/>
        </w:rPr>
        <w:t>E. 3.2</w:t>
      </w:r>
    </w:p>
    <w:p>
      <w:r>
        <w:t>Die Aus- und Durchfuhren der Gesuchsgegnerin 2 an bestimmte Endab- nehmer im Iran unterliegen für gewisse, namentlich bezeichnete Güterka-</w:t>
      </w:r>
    </w:p>
    <w:p>
      <w:r>
        <w:t>- 5 -</w:t>
      </w:r>
    </w:p>
    <w:p>
      <w:r>
        <w:t>tegorien seit Eröffnung des Beschwerdeentscheids des Eidg. Volkswirt- schaftsdepartements vom 24. August 2005 der Bewilligungspflicht des seco (vgl. Sachverhalt lit. A; act. 1.3). Gemäss den vorliegenden Akten versand- te die Gesuchsgegnerin 2 im November 2006 und März 2007 ab der Schweiz diverse Ventile, Sauggeräte mit Zubehör, Ersatzteile für Werk- zeugmaschinen und andere Güter an Unternehmen in Hong Kong (act. 1.4 Beil. 2 und 3). Der Gesuchsgegner 1 erklärte in der Einvernahme vom 2. Mai 2007, trotz Meldepflicht versucht zu haben, Lieferungen direkt in den Iran vorzunehmen. Auch habe er die mit vorgenannten Beilagen 2 und 3 belegten Sendungen nach Hong Kong in Auftrag gegeben; diese seien für den Iran bestimmt gewesen, ohne dass hiefür Bewilligungen des seco ein- geholt worden seien (act. 1.4). Somit besteht der begründete Verdacht, dass der Gesuchsgegner 1 gegen Art. 14 GKG i.V.m. Art. 4 der Güterkon- trollverordnung sowie gegen Art. 7 i.V.m. Art. 33 KMG verstossen hat.</w:t>
      </w:r>
    </w:p>
    <w:p>
      <w:r>
        <w:rPr>
          <w:b/>
        </w:rPr>
        <w:t>E. 4</w:t>
      </w:r>
    </w:p>
    <w:p>
      <w:r>
        <w:t>Die Gesuchsgegner machen weder geltend, dass sich unter den versiegel- ten Unterlagen Dokumente befinden, welche Berufsgeheimnisse von Per- sonen im Sinne von Art. 77 BStP betreffen, noch berufen sie sich auf Pri- vat- bzw. Geschäftsgeheimnisse, auf welche bei der Durchsuchung der Un- terlagen Rücksicht zu nehmen wäre (Art. 69 Abs. 1 BStP). Aufgrund der Aussagen des Gesuchsgegners 1 (E. 3.2) ist anzunehmen, dass sich unter den versiegelten Unterlagen solche befinden, welche die Geschäftsbezie- hungen der Gesuchsgegnerin 2 mit Unternehmen im Iran sowie mit Unter- nehmen in Drittstaaten, über welche Lieferungen in den Iran in Auftrag ge- geben wurden, betreffen und somit – entgegen der pauschalen Bestreitung (act. 3) – für die Untersuchung von Bedeutung sind. Die Durchsuchung der versiegelten Unterlagen ist somit zulässig (Art. 69 Abs. 2 BStP).</w:t>
      </w:r>
    </w:p>
    <w:p>
      <w:r>
        <w:rPr>
          <w:b/>
        </w:rPr>
        <w:t>E. 5</w:t>
      </w:r>
    </w:p>
    <w:p>
      <w:r>
        <w:t>Nach dem Gesagten ist das Gesuch gutzuheissen und die Gesuchstellerin zu ermächtigen, die bei den Gesuchsgegnern am 2. Mai 2007 sicherge- stellten Unterlagen im Beisein der Gesuchsgegner oder deren Vertreter zu entsiegeln und zu durchsuchen. Anlässlich der Entsiegelung werden dieje- nigen Papiere auszuscheiden und dem betreffenden Inhaber unverzüglich zurückzugeben sein, die mit dem Gegenstand der Strafuntersuchung of- fensichtlich in keinem Zusammenhang stehen und keinen Bezug zu den in Frage stehenden Widerhandlungen haben.</w:t>
      </w:r>
    </w:p>
    <w:p>
      <w:r>
        <w:rPr>
          <w:b/>
        </w:rPr>
        <w:t>E. 6</w:t>
      </w:r>
    </w:p>
    <w:p>
      <w:r>
        <w:t>Bei diesem Ausgang des Verfahrens haben die Gesuchsgegner die Kosten desselben zu gleichen Teilen und unter solidarischer Haftung zu tragen</w:t>
      </w:r>
    </w:p>
    <w:p>
      <w:r>
        <w:t>- 6 -</w:t>
      </w:r>
    </w:p>
    <w:p>
      <w:r>
        <w:t>(Art. 245 Abs. 1 BStP i.V.m. Art. 66 Abs. 1 und 5 BGG). Die Gerichtsgebühr ist auf Fr. 1’500.-- anzusetzen (Art. 3 des Reglements vom 11. Februar 2004 über die Gerichtsgebühren vor dem Bundesstrafgericht; SR 173.711.32).</w:t>
      </w:r>
    </w:p>
    <w:p>
      <w:r>
        <w:t>Es wird keine Parteientschädigung an die obsiegende Gesuchstellerin aus- gerichtet (Art. 245 Abs. 1 BStP i.V.m. Art. 68 Abs. 3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