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BE.2007.6 vom 31. August 2007</w:t>
      </w:r>
    </w:p>
    <w:p>
      <w:r>
        <w:t>Bundesstrafgericht, 2007-08-31, DE</w:t>
      </w:r>
    </w:p>
    <w:p>
      <w:r>
        <w:rPr>
          <w:b/>
        </w:rPr>
        <w:t xml:space="preserve">Quelle: </w:t>
      </w:r>
      <w:r>
        <w:t>https://mcp.opencaselaw.ch/entscheid/bstger_BE.2007.6</w:t>
      </w:r>
    </w:p>
    <w:p>
      <w:r>
        <w:t>FR: TPF BE.2007.6 du 31 août 2007</w:t>
      </w:r>
    </w:p>
    <w:p>
      <w:r>
        <w:t>IT: TPF BE.2007.6 del 31 agosto 2007</w:t>
      </w:r>
    </w:p>
    <w:p>
      <w:pPr>
        <w:pStyle w:val="Heading2"/>
      </w:pPr>
      <w:r>
        <w:t>Regeste</w:t>
      </w:r>
    </w:p>
    <w:p>
      <w:r>
        <w:t>Entsiegelung (Art. 69 Abs. 3 BStP)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Bei diesem Ausgang des Verfahrens hat die Gesuchsgegnerin die Kosten zu tragen (Art. 245 Abs. 1 BStP i.V.m. Art. 66 Abs. 1 und 5 BGG). Die Ge- richtsgebühr ist auf Fr. 1’500.-- anzusetzen (Art. 3 des Reglements vom</w:t>
      </w:r>
    </w:p>
    <w:p>
      <w:r>
        <w:rPr>
          <w:b/>
        </w:rPr>
        <w:t>E. 11</w:t>
      </w:r>
    </w:p>
    <w:p>
      <w:r>
        <w:t>Februar 2004 über die Gerichtsgebühren vor dem Bundesstrafgericht; SR 173.711.32). Es wird keine Parteientschädigung an die obsiegende Ge- suchstellerin ausgerichtet (Art. 245 Abs. 1 BStP i.V.m. Art. 68 Abs. 3 BGG).</w:t>
      </w:r>
    </w:p>
    <w:p>
      <w:r>
        <w:t>- 7 -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