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BE.2005.4.P vom 16. Oktober 2007</w:t>
      </w:r>
    </w:p>
    <w:p>
      <w:r>
        <w:t>Bundesstrafgericht, 2007-10-16, IT</w:t>
      </w:r>
    </w:p>
    <w:p>
      <w:r>
        <w:rPr>
          <w:b/>
        </w:rPr>
        <w:t xml:space="preserve">Quelle: </w:t>
      </w:r>
      <w:r>
        <w:t>https://mcp.opencaselaw.ch/entscheid/bstger_BE.2005.4.P</w:t>
      </w:r>
    </w:p>
    <w:p>
      <w:r>
        <w:t>FR: TPF BE.2005.4.P du 16 octobre 2007</w:t>
      </w:r>
    </w:p>
    <w:p>
      <w:r>
        <w:t>IT: TPF BE.2005.4.P del 16 ottobre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consid.</w:t>
      </w:r>
    </w:p>
    <w:p>
      <w:r>
        <w:rPr>
          <w:b/>
        </w:rPr>
        <w:t>E. 2.4</w:t>
      </w:r>
    </w:p>
    <w:p>
      <w:r>
        <w:t>e giurisprudenza citata; M. PFEIFER, in FELLMANN/ZINDEL [éd.], Kom- mentar zum Anwaltsgesetz, Zurigo/Basilea/Ginevra 2005, n° 31 e segg. ad art. 13 LLCA; N. OBERHOLZER, Basler Kommentar, Basilea 2003, n° 13 ad art. 321 CP; S. TRECHSEL, Schweizerisches Strafgesetzbuch, Kurzkom- mentar, n° 19 ad art. 321 CP). Il Tribunale federale ha già deciso che le at- tività che consistono nel gestire o investire dei fondi (DTF 112 Ib 606), nell’assumere un mandato d’incasso (DTF 120 Ib 112) o nell’amministrare una società per conto di un cliente (DTF 101 Ib 245; 115 Ia 197; 114 III 105) non costituiscono attività tipiche dell’avvocato. In questi casi il segreto professionale non può essere invocato per rifiutare di testimoniare o per contrastare una perquisizione o un sequestro.</w:t>
      </w:r>
    </w:p>
    <w:p>
      <w:r>
        <w:t>- 5 -</w:t>
      </w:r>
    </w:p>
    <w:p>
      <w:r>
        <w:rPr>
          <w:b/>
        </w:rPr>
        <w:t>E. 3</w:t>
      </w:r>
    </w:p>
    <w:p>
      <w:r>
        <w:t>Le spese giudiziarie e le indennità per spese ripetibili del presente giudizio saranno fissate mediante decisione ulteriore.</w:t>
      </w:r>
    </w:p>
    <w:p>
      <w:r>
        <w:t>Bellinzona, 17 ottobre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