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BE.2005.4.D vom 20. November 2007</w:t>
      </w:r>
    </w:p>
    <w:p>
      <w:r>
        <w:t>Bundesstrafgericht, 2007-11-20, IT</w:t>
      </w:r>
    </w:p>
    <w:p>
      <w:r>
        <w:rPr>
          <w:b/>
        </w:rPr>
        <w:t xml:space="preserve">Quelle: </w:t>
      </w:r>
      <w:r>
        <w:t>https://mcp.opencaselaw.ch/entscheid/bstger_BE.2005.4.D</w:t>
      </w:r>
    </w:p>
    <w:p>
      <w:r>
        <w:t>FR: TPF BE.2005.4.D du 20 novembre 2007</w:t>
      </w:r>
    </w:p>
    <w:p>
      <w:r>
        <w:t>IT: TPF BE.2005.4.D del 20 novembre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l’oggetto di una cernita, la quale ha come scopo quelli di distinguere quelli che possono essere versati nell’incarto da quelli per i quali l’opposizione ri- 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 sid. 2.4 e giurisprudenza citata; M. PFEIFER, in FELLMANN/ZINDEL [éd.], Kommentar zum Anwaltsgesetz, Zurigo/Basilea/Ginevra 2005, n° 31 e</w:t>
      </w:r>
    </w:p>
    <w:p>
      <w:r>
        <w:t>- 5 -</w:t>
      </w:r>
    </w:p>
    <w:p>
      <w:r>
        <w:t>segg. ad art. 13 LLCA; N. OBERHOLZER, Basler Kommentar, Basilea 2003, n° 13 ad art. 321 CP; S. TRECHSEL, Schweizerisches Strafgesetzbuch, Kurzkommentar, n° 19 ad art. 321 CP). Il Tribunale federale ha già deciso 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L'utilizzo o la trasmissione a terzi, per altre procedure, di documenti o infor- mazioni concernenti clienti degli indagati provenienti dagli incarti S23 e S24 di cui al punto 2 del presente dispositivo è proibito in assenza di nuove deci- sioni da parte della I Corte dei reclami penali.</w:t>
      </w:r>
    </w:p>
    <w:p>
      <w:r>
        <w:rPr>
          <w:b/>
        </w:rPr>
        <w:t>E. 4</w:t>
      </w:r>
    </w:p>
    <w:p>
      <w:r>
        <w:t>Le spese giudiziarie e le indennità per spese ripetibili del presente giudizio saranno fissate mediante decisione ulteriore.</w:t>
      </w:r>
    </w:p>
    <w:p>
      <w:r>
        <w:t>Bellinzona, 21 novembre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