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BB.2026.4 vom 21. Januar 2026</w:t>
      </w:r>
    </w:p>
    <w:p>
      <w:r>
        <w:t>Bundesstrafgericht, 2026-01-21, DE</w:t>
      </w:r>
    </w:p>
    <w:p>
      <w:r>
        <w:rPr>
          <w:b/>
        </w:rPr>
        <w:t xml:space="preserve">Quelle: </w:t>
      </w:r>
      <w:r>
        <w:t>https://mcp.opencaselaw.ch/entscheid/bstger_BB.2026.4</w:t>
      </w:r>
    </w:p>
    <w:p>
      <w:r>
        <w:t>FR: TPF BB.2026.4 du 21 janvier 2026</w:t>
      </w:r>
    </w:p>
    <w:p>
      <w:r>
        <w:t>IT: TPF BB.2026.4 del 21 gennaio 2026</w:t>
      </w:r>
    </w:p>
    <w:p>
      <w:pPr>
        <w:pStyle w:val="Heading2"/>
      </w:pPr>
      <w:r>
        <w:t>Regeste</w:t>
      </w:r>
    </w:p>
    <w:p>
      <w:r>
        <w:t>Verfahrenshandlung der Strafkammer (Art. 20 Abs. 1 lit. a i.V.m. Art. 393 Abs. 1 lit. b StPO)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April 2025 E. 2.2 m.w.H.);</w:t>
      </w:r>
    </w:p>
    <w:p>
      <w:r>
        <w:t>- der Beschwerdeführer vorliegend die Verfügung vom 8. Januar 2026 betref- fend Ansetzung der Hauptverhandlung im Verfahren SK.2026.1 anficht;</w:t>
      </w:r>
    </w:p>
    <w:p>
      <w:r>
        <w:t>- 4 -</w:t>
      </w:r>
    </w:p>
    <w:p>
      <w:r>
        <w:t>- gemäss Art. 331 Abs. 4 StPO die Verfahrensleitung Datum, Zeit und Ort der Hauptverhandlung festsetzt und die Parteien sowie die Zeuginnen und Zeugen, Auskunftspersonen und Sachverständigen vorlädt, die einvernom- men werden sollen; sie endgültig über Verschiebungsgesuche entscheidet, die vor Beginn der Hauptverhandlung eingehen (Art. 331 Abs. 5 StPO);</w:t>
      </w:r>
    </w:p>
    <w:p>
      <w:r>
        <w:t>- ein nicht wiedergutzumachender Nachteil lediglich aufgrund der (provisori- schen) Terminansetzung für die Hauptverhandlung in concreto nicht ersicht- lich ist, da es dem Beschwerdeführer freistand, bis zum 16. Januar 2026 ein Verschiebungsgesuch zu stellen;</w:t>
      </w:r>
    </w:p>
    <w:p>
      <w:r>
        <w:t>- aus den dem Gericht vorliegenden Akten nicht ersichtlich ist, dass der Beschwerdeführer ein Verschiebungsgesuch gestellt hätte; er Derartiges auch nicht behauptet;</w:t>
      </w:r>
    </w:p>
    <w:p>
      <w:r>
        <w:t>- ein allfälliges diesbezügliches Versäumnis nicht über die Hintertür einer Beschwerde gegen die Ansetzung einer Hauptverhandlung nachgeholt wer- den kann;</w:t>
      </w:r>
    </w:p>
    <w:p>
      <w:r>
        <w:t>- darüber hinaus verfahrensleitende Entscheide in Bezug auf (abgelehnte) Verschiebungsgesuche explizit nicht anfechtbar sind (Art. 331 Abs. 5 StPO), sodass konsequenterweise auch kein Rechtsmittel gegen die dem Verschie- bungsgesuch vorangehende Terminansetzung gegeben ist (GUIDON, Basler Kommentar, 3. Aufl. 2023, N. 13a zu Art. 393 StPO, FN 292);</w:t>
      </w:r>
    </w:p>
    <w:p>
      <w:r>
        <w:t>- damit kein taugliches Anfechtungsobjekt vorliegt, sodass auf die Be- schwerde und den prozessualen Antrag nicht einzutreten ist;</w:t>
      </w:r>
    </w:p>
    <w:p>
      <w:r>
        <w:t>- bei diesem Ausgang des Verfahrens der Beschwerdeführer die Gerichts- kosten zu tragen hat (Art. 428 Abs. 1 StPO);</w:t>
      </w:r>
    </w:p>
    <w:p>
      <w:r>
        <w:t>- die Gerichtsgebühr auf Fr. 1'000.– festzusetzen ist (vgl. Art. 73 StBOG und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