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BB.2026.26 vom 16. März 2026</w:t>
      </w:r>
    </w:p>
    <w:p>
      <w:r>
        <w:t>Bundesstrafgericht, 2026-03-16, DE</w:t>
      </w:r>
    </w:p>
    <w:p>
      <w:r>
        <w:rPr>
          <w:b/>
        </w:rPr>
        <w:t xml:space="preserve">Quelle: </w:t>
      </w:r>
      <w:r>
        <w:t>https://mcp.opencaselaw.ch/entscheid/bstger_BB.2026.26</w:t>
      </w:r>
    </w:p>
    <w:p>
      <w:r>
        <w:t>FR: TPF BB.2026.26 du 16 mars 2026</w:t>
      </w:r>
    </w:p>
    <w:p>
      <w:r>
        <w:t>IT: TPF BB.2026.26 del 16 marzo 2026</w:t>
      </w:r>
    </w:p>
    <w:p>
      <w:pPr>
        <w:pStyle w:val="Heading2"/>
      </w:pPr>
      <w:r>
        <w:t>Regeste</w:t>
      </w:r>
    </w:p>
    <w:p>
      <w:r>
        <w:t>Nichtanhandnahmeverfügung (Art. 310 i.V.m. Art. 322 Abs. 2 StPO)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Tagen schriftlich und begründet bei der Beschwerdeinstanz einzureichen ist (Art. 396 Abs. 1 StPO);</w:t>
      </w:r>
    </w:p>
    <w:p>
      <w:r>
        <w:t>- schriftliche Eingaben zu datieren und zu unterzeichnen sind (Art. 110 Abs. 1 StPO), wobei mit «unterzeichnen» die eigenhändige Unterschrift gemeint ist (siehe zuletzt u.a. das Urteil des Bundesgerichts 6B_68/2024 vom 15. Juli 2024 E. 3);</w:t>
      </w:r>
    </w:p>
    <w:p>
      <w:r>
        <w:t>- eine fotokopierte, faksimilierte oder anderweitig reproduzierte Unterzeich- nung den Anforderungen an die Eigenhändigkeit nicht genügt (Urteil des Bundesgerichts 6B_68/2024 vom 15. Juli 2024 E. 3 mit Hinweis auf BGE 142 IV 299 E. 1.1);</w:t>
      </w:r>
    </w:p>
    <w:p>
      <w:r>
        <w:t>- bei elektronischer Einreichung die Eingabe mit einer qualifizierten elektroni- schen Signatur gemäss dem Bundesgesetz vom 18. März 2016 über Zertifi- zierungsdienste im Bereich der elektronischen Signatur und anderer</w:t>
      </w:r>
    </w:p>
    <w:p>
      <w:r>
        <w:t>- 3 -</w:t>
      </w:r>
    </w:p>
    <w:p>
      <w:r>
        <w:t>Anwendungen digitaler Zertifikate (Bundesgesetz über die elektronische Signatur, ZertES; SR 943.03) versehen werden muss (Art. 110 Abs. 2 StPO);</w:t>
      </w:r>
    </w:p>
    <w:p>
      <w:r>
        <w:t>- die erwähnten Eingaben des Beschwerdeführers weder handschriftlich unterzeichnet sind noch die erwähnte qualifizierte elektronische Signatur aufweisen;</w:t>
      </w:r>
    </w:p>
    <w:p>
      <w:r>
        <w:t>- dem Beschwerdeführer vorliegend trotz Fehlens einer rechtsgültigen Unter- schrift nach Ablauf der Rechtsmittelfrist keine angemessene (Nach-)Frist zur Behebung des Mangels anzusetzen ist, nachdem er bereits in der Rechts- mittelbelehrung durch die Beschwerdegegnerin ausdrücklich darauf hinge- wiesen wurde, dass Eingaben per Telefax und E-Mail nicht rechtsgültig sind und keine fristwahrende Wirkung haben (vgl. hierzu das Urteil des Bundes- gerichts 6B_68/2024 vom 15. Juli 2024 E. 3 in fine);</w:t>
      </w:r>
    </w:p>
    <w:p>
      <w:r>
        <w:t>- auf die Beschwerde nach dem Gesagten schon allein aus diesem Grund offensichtlich nicht einzutreten ist;</w:t>
      </w:r>
    </w:p>
    <w:p>
      <w:r>
        <w:t>- dieser Entscheid durch die Verfahrensleitung als Einzelgericht ergeht (vgl. Art. 388 Abs. 2 lit. a StPO);</w:t>
      </w:r>
    </w:p>
    <w:p>
      <w:r>
        <w:t>- das vom Beschwerdeführer gestellte Gesuch um unentgeltliche Rechts- pflege bei diesem Ausgang des Verfahrens wegen Aussichtslosigkeit der Beschwerde abzuweisen ist;</w:t>
      </w:r>
    </w:p>
    <w:p>
      <w:r>
        <w:t>- bei diesem Ausgang des Verfahrens die Gerichtskosten dem Beschwerde- führer aufzuerlegen sind (Art. 428 Abs. 1 StPO) und die Gerichtsgebühr auf Fr. 200.– festzusetzen ist (vgl. Art. 73 StBOG und Art. 5 und 8 Abs. 1 des Reglements des Bundesstrafgerichts vom 31. August 2010 über die Kosten, Gebühren und Entschädigungen in Bundesstrafverfahren [BStKR; SR 173.713.162]);</w:t>
      </w:r>
    </w:p>
    <w:p>
      <w:r>
        <w:t>- sich die Beschwerdekammer vorbehält, auf weitere Eingaben des Gesuch- stellers im gleichen Sachzusammenhang nicht mehr förmlich zu reagieren;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