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BB.2025.79 vom 26. November 2025</w:t>
      </w:r>
    </w:p>
    <w:p>
      <w:r>
        <w:t>Bundesstrafgericht, 2025-11-26, DE</w:t>
      </w:r>
    </w:p>
    <w:p>
      <w:r>
        <w:rPr>
          <w:b/>
        </w:rPr>
        <w:t xml:space="preserve">Quelle: </w:t>
      </w:r>
      <w:r>
        <w:t>https://mcp.opencaselaw.ch/entscheid/bstger_BB.2025.79</w:t>
      </w:r>
    </w:p>
    <w:p>
      <w:r>
        <w:t>FR: TPF BB.2025.79 du 26 novembre 2025</w:t>
      </w:r>
    </w:p>
    <w:p>
      <w:r>
        <w:t>IT: TPF BB.2025.79 del 26 novembre 2025</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oder mündlich eröffnete Entscheide ist innert zehn Tagen schriftlich und begrün- det einzureichen.</w:t>
      </w:r>
    </w:p>
    <w:p>
      <w:r>
        <w:rPr>
          <w:b/>
        </w:rPr>
        <w:t>E. 1.2</w:t>
      </w:r>
    </w:p>
    <w:p>
      <w:r>
        <w:t>ff.). Gemäss einem Schreiben von C. an die Bundesanwaltschaft vom</w:t>
      </w:r>
    </w:p>
    <w:p>
      <w:r>
        <w:rPr>
          <w:b/>
        </w:rPr>
        <w:t>E. 1.3</w:t>
      </w:r>
    </w:p>
    <w:p>
      <w:r>
        <w:t>Gemäss Halterabklärung durch das Bundesamt für Polizei fedpol ist der Be- schwerdeführer seit dem 2. Juni 2025 Halter des Personenwagens MINI Cooper (vgl. Aktennotiz über die Halterabklärung vom 4. Juli 2025; Verfah- rensakten, Urk. 10.1-2025.07.04-1.1 ff.). Der Beschwerdeführer ist daher be- rechtigt, gegen den Beschlagnahmebefehl vom 5. August 2025 Beschwerde zu erheben (vgl. Beschluss des Bundesstrafgerichts BB.2012.114 vom 9. Oktober 2012 m.w.H.). Die Beschwerde wurde ferner frist- und formge- recht eingereicht, sodass darauf einzutreten ist.</w:t>
      </w:r>
    </w:p>
    <w:p>
      <w:r>
        <w:rPr>
          <w:b/>
        </w:rPr>
        <w:t>E. 2.1</w:t>
      </w:r>
    </w:p>
    <w:p>
      <w:r>
        <w:t>Gemäss Art. 263 Abs. 1 lit. d StPO können Gegenstände und Vermögens- werte einer beschuldigten Person oder einer Drittperson beschlagnahmt werden, wenn die Gegenstände und Vermögenswerte voraussichtlich</w:t>
      </w:r>
    </w:p>
    <w:p>
      <w:r>
        <w:t>- 4 -</w:t>
      </w:r>
    </w:p>
    <w:p>
      <w:r>
        <w:t>einzuziehen sind (Einziehungsbeschlagnahme). Die Einziehungsbeschlag- nahme ist eine provisorische konservatorische prozessuale Zwangsmass- nahme zur vorläufigen Sicherstellung der allenfalls einzuziehenden Vermö- genswerte (BGE 141 IV 360 E. 3.2; 140 IV 57 E. 4.1.1). Von einer Beschlag- nahme ist nur dann abzusehen, wenn ein Drittrecht im Sinne von Art. 70 Abs. 2 StGB eindeutig gegeben ist und damit eine Einziehung offensichtlich ausser Betracht fällt. In allen übrigen Fällen gebietet das öffentliche Inte- resse die Aufrechterhaltung der Beschlagnahme (vgl. zum Ganzen TPF 2005 109 E. 5.2; Beschluss des Bundesstrafgerichts BB.2017.12 vom</w:t>
      </w:r>
    </w:p>
    <w:p>
      <w:r>
        <w:rPr>
          <w:b/>
        </w:rPr>
        <w:t>E. 2.2</w:t>
      </w:r>
    </w:p>
    <w:p>
      <w:r>
        <w:t>Gemäss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 stellen würde. Der Dritterwerber ist nicht gutgläubig, wenn er nach den Um- ständen die deliktische Herkunft der Sachen annehmen musste. Der Ent- scheid bezüglich des guten Glaubens des Dritten, der sich auf die Ausnahme von Art. 70 Abs. 2 StGB beruft, liegt beim Sachrichter, solange nicht bereits im Untersuchungsstadium offensichtlich ist bzw. eindeutig feststeht, dass eine Einziehung der beschlagnahmten Vermögenswerte ausgeschlossen ist (TPF 2010 22 E. 2.2.3 S. 26 m.w.H.).</w:t>
      </w:r>
    </w:p>
    <w:p>
      <w:r>
        <w:rPr>
          <w:b/>
        </w:rPr>
        <w:t>E. 3</w:t>
      </w:r>
    </w:p>
    <w:p>
      <w:r>
        <w:t>Juli 2017 E. 3.2.1). Für die Einziehungsbeschlagnahme wird ein hinrei- chender, objektiv begründeter konkreter Tatverdacht gegenüber dem Inha- ber des Gegenstandes bzw. Vermögenswertes oder einem Dritten voraus- gesetzt, wonach die betroffenen Vermögenswerte durch eine Straftat erlangt worden sind oder dazu bestimmt waren, eine Straftat zu veranlassen oder zu belohnen (Art. 70 Abs. 1 StGB; Art. 197 Abs. 1 lit. b StPO; BGE 124 IV 313 E. 4; Urteil des Bundesgerichts 1B_277/2015 vom 12. Januar 2016 E. 4.2; TPF 2005 84 E. 3.1.2). Ferner hat die Einziehungsbeschlagnahme im öffentlichen Interesse zu liegen und den Grundsatz der Verhältnismässigkeit zu wahren (Art. 197 Abs. 1 lit. c und d StPO; Urteil des Bundesgerichts 1B_352/2019 vom 30. Oktober 2019 E. 3.1; TPF 2005 84 E. 3.2.2).</w:t>
      </w:r>
    </w:p>
    <w:p>
      <w:r>
        <w:rPr>
          <w:b/>
        </w:rPr>
        <w:t>E. 3.1</w:t>
      </w:r>
    </w:p>
    <w:p>
      <w:r>
        <w:t>Der Beschwerdeführer macht sinngemäss geltend, Eigentümer des be- schlagnahmen Fahrzeuges zu sein. Er habe Kenntnis von einem unter- schriebenen Kaufvertrag von B. und einem Verzichtserklärungsvertrag zwi- schen den Eheleuten B. und C. Er sei seit Anfang 2024 in Besitz des Autos und Versicherungsnehmer seit November 2024. B. sei mit einer Ummeldung auf C. schriftlich sowie mündlich einverstanden gewesen. Laut Aussagen von C. und Familienangehörigen sowie Freunden sei dieses Auto immer ein</w:t>
      </w:r>
    </w:p>
    <w:p>
      <w:r>
        <w:t>- 5 -</w:t>
      </w:r>
    </w:p>
    <w:p>
      <w:r>
        <w:t>ausschliesslich für C. gekauftes Auto gewesen, welches sie und ihre Kinder seit 2019 benutzt hätten. Es sei nie ein Fahrzeug auf C. eingelöst worden, die Bezahlung hingegen habe laut ihrer Aussage aus zusammen in der Ehe erwirtschaftetem Geld gestammt. Auch sei sie für den Unterhalt des Autos aufgekommen, was Transaktionen belegen würden. Zum Zeitpunkt der Um- meldung sei das Fahrzeug auch kein Firmenfahrzeug gewesen, sondern Pri- vatbesitz der beiden. Er habe dieses Auto bezahlt und rechtlich erworben und habe seit November hohe Ausgaben für Wartung und Reparaturen ge- habt. Seit März wohne er mit C. und deren Kindern zusammen und komme für deren Unterhalt auf, da B. seit seiner Inhaftierung keinen Unterhalt zahle. C. sei aus diesem Grund Hauptlenkerin und nutze den Wagen für Transport der Kinder und den Weg zur Arbeit. Sie sei auf das Auto angewiesen (act. 1).</w:t>
      </w:r>
    </w:p>
    <w:p>
      <w:r>
        <w:rPr>
          <w:b/>
        </w:rPr>
        <w:t>E. 3.2</w:t>
      </w:r>
    </w:p>
    <w:p>
      <w:r>
        <w:t>Der Beschwerdeführer äussert sich in seiner Beschwerde nicht zu den Aus- führungen der Beschwerdegegnerin zum hinreichenden Tatverdacht gegen B. wegen der eingangs erwähnten Delikte (vgl. supra lit. A).</w:t>
      </w:r>
    </w:p>
    <w:p>
      <w:r>
        <w:t>Ausgehend von den sich auf die Akten stützenden Darlegungen der Be- schwerdegegnerin im angefochtenen Beschlagnahmebefehl vom 5. Au- gust 2025 (act. 1.1) und in der Beschwerdeantwort vom 28. August 2025 (act. 3, S. 2 ff. samt Beilagen) ist der hinreichende Tatverdacht gegen B. auf ungetreue Amtsführung (Art. 314 StGB), Betrug (Art. 146 StGB), Urkunden- fälschung (Art. 251 StGB), Geldwäscherei (Art. 305bis StGB) und Widerhand- lung gegen das Waffengesetz (Art. 33 WG) ohne Weiteres gegeben.</w:t>
      </w:r>
    </w:p>
    <w:p>
      <w:r>
        <w:rPr>
          <w:b/>
        </w:rPr>
        <w:t>E. 3.3</w:t>
      </w:r>
    </w:p>
    <w:p>
      <w:r>
        <w:t>Zu den Beschlagnahmegründen führte die Beschwerdegegnerin aus, B. habe ausgesagt, dass das beschlagnahmte Fahrzeug mit Geldern delikti- schen Ursprungs im Jahr 2019 über die D. AG erworben worden sei. Als Geschäftsführerin der D. AG sei bis zum 15. Juli 2025 E. eingetragen gewe- sen. Seither sei B. als einziges Mitglied des Verwaltungsrates mit Einzelun- terschrift eingetragen. Die Kontrolle über die Gesellschaft habe allerdings faktisch immer B. gehabt, welcher die D. AG für sein kriminelles System ge- nutzt habe. B. sei daher auch als Halter des beschlagnahmten Personenwa- gens eingetragen gewesen. Am 2. Juni 2025 sei das Fahrzeug neu auf den Beschwerdeführer, den Lebenspartner von C., eingelöst worden. Gemäss Aussagen von B. gehe C. davon aus, dass der Personenwagen in ihrem Ei- gentum sei, allerdings nie ein Kaufvertrag zustande gekommen sei. In den Akten liege kein beidseitig unterzeichneter Kaufvertrag vor. Es sei nicht er- sichtlich, dass das Eigentum am Personenwagen auf C. respektive den Be- schwerdeführer übertragen worden sei. Es werde daher darauf abgestellt, dass der Personenwagen nach wie vor im Eigentum der D. AG stehe. Die Eintragung des Beschwerdeführers als neuer Halter des Personenwagens</w:t>
      </w:r>
    </w:p>
    <w:p>
      <w:r>
        <w:t>- 6 -</w:t>
      </w:r>
    </w:p>
    <w:p>
      <w:r>
        <w:t>sei erst am 2. Juni 2025 erfolgt, ein halbes Jahr nachdem B. verhaftet worden sei. Seine Ehefrau, C., sei durch die Bundeskriminalpolizei als Auskunftsper- son einvernommen worden. Es sei davon auszugehen, dass der Beschwer- deführer als neuer Lebenspartner von C. Kenntnis von den gegenüber B. erhobenen Vorwürfen gehabt habe. Somit liege kein Erwerb respektive Ein- tragung als Halter in Unkenntnis der Einziehungsgründe vor. Ebenfalls sei aus den Akten nicht ersichtlich, dass für den Personenwagen eine gleich- wertige Gegenleistung erbracht worden wäre (act. 1.1).</w:t>
      </w:r>
    </w:p>
    <w:p>
      <w:r>
        <w:rPr>
          <w:b/>
        </w:rPr>
        <w:t>E. 3.4</w:t>
      </w:r>
    </w:p>
    <w:p>
      <w:r>
        <w:t>Gestützt auf die vorliegende Aktenlage, insbesondere auf die im Rahmen der Einvernahme vom 19. Juni 2025 getätigten Aussagen von B., wonach der beschlagnahmte MINI Cooper mit den deliktisch erlangten «SBB-Gel- dern» erworben worden sei (Verfahrensakten Urk. 13.1-2025.06.19-1.15), ist der Zusammenhang zwischen den beschlagnahmten Fahrzeug und der un- tersuchten Straftat ohne Weiteres gegeben. Dies wird vom Beschwerdefüh- rer denn auch gar nicht bestritten. Ferner ist mit der Beschwerdegegnerin festzuhalten, dass sich in den Akten keine Hinweise für eine Eigentumsüber- tragung des Fahrzeuges auf den Beschwerdeführer finden. Aktenkundig ist vielmehr Folgendes: Am 31. Juli 2019 erfolgte vom Konto der D. AG bei der Bank F., IBAN 1 zugunsten der Garage G. AG eine Überweisung von CHF 49'770.--, nachdem diese der D. AG am 1. Juni 2019 ein Angebot für den Erwerb des MINI John Cooper Works Cabrio in der Höhe von CHF 49'850.-- unterbreitet hatte (Verfahrensakten, Urk. 7.1.1.1.6A- 2024.12.06-5.90; Urk. 10.1-2025.07.04-1.3). Gemäss Ermittlungen der Bun- deskriminalpolizei ist das beschlagnahmte Fahrzeug nie auf die D. AG ein- gelöst worden. Halter des Fahrzeugs sei B. gewesen, bevor das Auto am 2. Juni 2025 auf den Beschwerdeführer eingelöst worden sei (Verfahrensak- ten, Urk. 10.1-2025.07.04-1.1 f.). Bei den Akten liegt ferner ein Kaufvertrag über den MINI Cooper zwischen B. und C., welcher vom 19. März 2024 da- tiert. Unterzeichnet wurde der Vertrag nur von C. Als Kaufpreis war «13» angegeben (Verfahrensakten, Urk. 10.1-2025.07.04-1.5). Ein weiterer, sich bei den Akten befindender Vertrag vom 20. März 2024 zwischen B. und C. über den Verkauf des MINI Cooper zum Preis von CHF 30'000.-- ist hinge- gen nur von B. unterzeichnet (Verfahrensakten, Urk. 13.1-2025.06.19-1.36). B. sagte anlässlich der delegierten Einvernahme aus, C. habe den Vertrag vom 20. März 2024 nicht unterzeichnet. Er habe eigentlich gewollt, dass das Auto wieder zurück nach Z. gebracht werde. Sie habe jedoch geantwortet, dass ihr dies egal sei (Verfahrensakten, Urk. 13.1-2025.06.19-1.15 f.). Bei den Akten befinden sich sodann zwei Schreiben von B. an C. vom 7. Mai und 2. Juni 2025. Daraus ist ersichtlich, dass B. seiner Frau am 7. Mai 2025 einen neuen Kaufvertrag über den MINI Cooper zu einem Kaufpreis von CHF 28'000.-- zugestellt hatte. Er schrieb, dass sie das Fahrzeug entweder</w:t>
      </w:r>
    </w:p>
    <w:p>
      <w:r>
        <w:t>- 7 -</w:t>
      </w:r>
    </w:p>
    <w:p>
      <w:r>
        <w:t>bis zum 31. Mai 2025 kaufen könne oder ihm das Fahrzeug bis zum 31. Mai 2025 zurückgeben müsse (Verfahrensakten, Urk. 23-2025.06.04-</w:t>
      </w:r>
    </w:p>
    <w:p>
      <w:r>
        <w:rPr>
          <w:b/>
        </w:rPr>
        <w:t>E. 3.5</w:t>
      </w:r>
    </w:p>
    <w:p>
      <w:r>
        <w:t>Zusammenfassend erweist sich die Beschwerde als unbegründet, weshalb sie abzuweisen ist.</w:t>
      </w:r>
    </w:p>
    <w:p>
      <w:r>
        <w:rPr>
          <w:b/>
        </w:rPr>
        <w:t>E. 4</w:t>
      </w:r>
    </w:p>
    <w:p>
      <w:r>
        <w:t>Dem Ausgang des Verfahrens entsprechend sind die Gerichtskosten dem unterliegenden Beschwerdeführer aufzuerlegen (Art. 428 Abs. 1 StPO). Die Gerichtsgebühr ist auf Fr. 2'000.-- festzusetzen (vgl. Art. 73 StBOG und Art. 5 und 8 Abs. 1 des Reglements des Bundesstrafgerichts vom 31. Au- gust 2010 über die Kosten, Gebühren und Entschädigungen in Bundesstraf- 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