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BB.2025.29 vom 11. August 2025</w:t>
      </w:r>
    </w:p>
    <w:p>
      <w:r>
        <w:t>Bundesstrafgericht, 2025-08-11, DE</w:t>
      </w:r>
    </w:p>
    <w:p>
      <w:r>
        <w:rPr>
          <w:b/>
        </w:rPr>
        <w:t xml:space="preserve">Quelle: </w:t>
      </w:r>
      <w:r>
        <w:t>https://mcp.opencaselaw.ch/entscheid/bstger_BB.2025.29</w:t>
      </w:r>
    </w:p>
    <w:p>
      <w:r>
        <w:t>FR: TPF BB.2025.29 du 11 août 2025</w:t>
      </w:r>
    </w:p>
    <w:p>
      <w:r>
        <w:t>IT: TPF BB.2025.29 del 11 agosto 2025</w:t>
      </w:r>
    </w:p>
    <w:p>
      <w:pPr>
        <w:pStyle w:val="Heading2"/>
      </w:pPr>
      <w:r>
        <w:t>Regeste</w:t>
      </w:r>
    </w:p>
    <w:p>
      <w:r>
        <w:t>Nichtanhandnahmeverfügung (Art. 310 i.V.m. Art. 322 Abs. 2 StPO); unentgeltliche Rechtspflege für die Privatklägerschaft im Beschwerdeverfahren (Art. 136 Abs. 1 StPO)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März 2025 zugestellt gilt; die Rechtsmittelfrist am 19. März 2025 zu lau- fen begann und am 28. März 2025 endete;</w:t>
      </w:r>
    </w:p>
    <w:p>
      <w:r>
        <w:t>- die nach Ablauf der Rechtsmittelfrist erfolgte zweite Zustellung der Nichtan- handnahmeverfügung mittels A-Post Plus am 20. März 2025 (vgl. Verfahren- sakten, Reiter 6) nach dem oben Gesagten keinen neuen Fristenlauf zu be- gründen vermag;</w:t>
      </w:r>
    </w:p>
    <w:p>
      <w:r>
        <w:t>- sich die am 15. April 2025 erhobene Beschwerde somit als verspätet erweist und auf diese nicht einzutreten ist;</w:t>
      </w:r>
    </w:p>
    <w:p>
      <w:r>
        <w:t>- die Beschwerde im Übrigen auch materiell abzuweisen gewesen wäre, da den Eingaben des Beschwerdeführers kein konkreter Sachverhalt entnom- men werden kann, der einen hinreichenden Tatverdacht begründen könnte;</w:t>
      </w:r>
    </w:p>
    <w:p>
      <w:r>
        <w:t>- der Beschwerdeführer insbesondere mit dem abschlägigen Entscheid von B. nicht einverstanden war; der Beschwerdeführer jedoch nicht begründet, in- wiefern die beanzeigten Behördenmitglieder ihre Amtsgewalt missbraucht oder sonst einen Straftatbestand erfüllt hätten, worauf bereits die Bundesan- waltschaft in der angefochtenen Verfügung zu Recht hingewiesen hat;</w:t>
      </w:r>
    </w:p>
    <w:p>
      <w:r>
        <w:t>- der Beschwerdeführer schliesslich um Gewährung der unentgeltlichen Rechtspflege ersucht hat (BP.2025.62, act. 1);</w:t>
      </w:r>
    </w:p>
    <w:p>
      <w:r>
        <w:t>- dieses Gesuch infolge der Aussichtslosigkeit der Beschwerde abzuweisen ist (Art. 136 Abs. 1 lit. b StPO);</w:t>
      </w:r>
    </w:p>
    <w:p>
      <w:r>
        <w:t>- bei diesem Ausgang des Verfahrens der Beschwerdeführer die Kosten zu tragen hat (vgl. Art. 428 Abs. 1 StPO);</w:t>
      </w:r>
    </w:p>
    <w:p>
      <w:r>
        <w:t>- die Gerichtsgebühr auf das gesetzliche und reglementarische Minimum von Fr. 200.–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