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BB.2025.16 vom 4. Juni 2025</w:t>
      </w:r>
    </w:p>
    <w:p>
      <w:r>
        <w:t>Bundesstrafgericht, 2025-06-04, DE</w:t>
      </w:r>
    </w:p>
    <w:p>
      <w:r>
        <w:rPr>
          <w:b/>
        </w:rPr>
        <w:t xml:space="preserve">Quelle: </w:t>
      </w:r>
      <w:r>
        <w:t>https://mcp.opencaselaw.ch/entscheid/bstger_BB.2025.16</w:t>
      </w:r>
    </w:p>
    <w:p>
      <w:r>
        <w:t>FR: TPF BB.2025.16 du 4 juin 2025</w:t>
      </w:r>
    </w:p>
    <w:p>
      <w:r>
        <w:t>IT: TPF BB.2025.16 del 4 giugno 2025</w:t>
      </w:r>
    </w:p>
    <w:p>
      <w:pPr>
        <w:pStyle w:val="Heading2"/>
      </w:pPr>
      <w:r>
        <w:t>Regeste</w:t>
      </w:r>
    </w:p>
    <w:p>
      <w:r>
        <w:t>Rechtsverzögerung (Art. 393 Abs. 2 lit. a StPO)</w:t>
      </w:r>
    </w:p>
    <w:p>
      <w:pPr>
        <w:pStyle w:val="Heading2"/>
      </w:pPr>
      <w:r>
        <w:t>Erwägungen</w:t>
      </w:r>
    </w:p>
    <w:p>
      <w:r>
        <w:rPr>
          <w:b/>
        </w:rPr>
        <w:t>E. 1</w:t>
      </w:r>
    </w:p>
    <w:p>
      <w:r>
        <w:t>Bis heute leistete die Beschwerdeführerin dem Gericht keinen Kostenvor- schuss (vgl. act. 6). Auf die Beschwerde vom 21. Februar 2025 ist daher androhungsgemäss nicht einzutreten (vgl. act. 2 und Art. 383 Abs. 2 StPO). Die weiteren Eintretensvoraussetzungen können damit offen bleiben.</w:t>
      </w:r>
    </w:p>
    <w:p>
      <w:r>
        <w:t>Die A. AG machte der BA ihre Eingabe («Strafklage») vom 18. März 2024 für die «Familie B.», wobei zwei Verwaltungsräte mit entsprechendem Nach- namen für die Gesellschaft zeichneten. Die A. AG erhob die Rechtsverzöge- rungsbeschwerde jedenfalls in eigenem Namen. Am 14. April 2025 zeigte D. dem Gericht den Entzug der Vollmacht der «Strafkläger» auf dem Papier der A. AG an. Dies ist vorliegend insoweit ohne Bedeutung, als die A. AG in eigenem Namen Beschwerde erhoben und sie es unterlassen hat, den von ihr geschuldeten Kostenvorschuss fristgerecht zu leisten.</w:t>
      </w:r>
    </w:p>
    <w:p>
      <w:r>
        <w:rPr>
          <w:b/>
        </w:rPr>
        <w:t>E. 2</w:t>
      </w:r>
    </w:p>
    <w:p>
      <w:r>
        <w:t>Bei diesem Ausgang des Verfahrens wird die beschwerdeführende A. AG kostenpflichtig (vgl. Art. 428 Abs. 1 StPO). Die Gerichtsgebühr ist auf Fr. 1'000.-- festzusetzen (vgl. Art. 73 StBOG i.V.m. Art. 5 und 8 Abs. 1 des Reglements des Bundesstrafgerichts vom 31. August 2010 über die Kosten, Gebühren und Entschädigungen in Bundesstrafverfahren [BStKR; SR 173.713.162]) und der A. AG aufzuerlegen.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