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BB.2025.112 vom 2. Dezember 2025</w:t>
      </w:r>
    </w:p>
    <w:p>
      <w:r>
        <w:t>Bundesstrafgericht, 2025-12-02, FR</w:t>
      </w:r>
    </w:p>
    <w:p>
      <w:r>
        <w:rPr>
          <w:b/>
        </w:rPr>
        <w:t xml:space="preserve">Quelle: </w:t>
      </w:r>
      <w:r>
        <w:t>https://mcp.opencaselaw.ch/entscheid/bstger_BB.2025.112</w:t>
      </w:r>
    </w:p>
    <w:p>
      <w:r>
        <w:t>FR: TPF BB.2025.112 du 2 décembre 2025</w:t>
      </w:r>
    </w:p>
    <w:p>
      <w:r>
        <w:t>IT: TPF BB.2025.112 del 2 dicembre 2025</w:t>
      </w:r>
    </w:p>
    <w:p>
      <w:pPr>
        <w:pStyle w:val="Heading2"/>
      </w:pPr>
      <w:r>
        <w:t>Regeste</w:t>
      </w:r>
    </w:p>
    <w:p>
      <w:r>
        <w:t>Séquestre (art. 263 ss CPP)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mai 2024 consid. 2.4.2);</w:t>
      </w:r>
    </w:p>
    <w:p>
      <w:r>
        <w:t>ce d’autant que les deux personnes mentionnées en qualité, respectivement, de « owner » (United Representation of Compagnies) et de « manager » (F.) de la société recourante sur les documents du registre du commerce figurent comme tels dans une rubrique intitulée « Ownership and representatives », sans précision du pouvoir de représentation effectif de chacune;</w:t>
      </w:r>
    </w:p>
    <w:p>
      <w:r>
        <w:t>si l’on comprend que la première est l’actionnaire unique et « owner », il n’est pas spécifié si elle possède ou non un pouvoir de représentation;</w:t>
      </w:r>
    </w:p>
    <w:p>
      <w:r>
        <w:t>à cela s’ajoute que, dans sa requête du 30 avril 2025 au MPC, produite en annexe au recours, les conseils de la société recourante annonçaient être représentés par « les administrateurs » actuels de celle-ci (act. 1.13), laissant ainsi entendre qu’ils étaient plusieurs;</w:t>
      </w:r>
    </w:p>
    <w:p>
      <w:r>
        <w:t>partant, la recourante n’a pas établi ses pouvoirs de représentation dans la présente procédure de recours, dans le délai imparti pour ce faire;</w:t>
      </w:r>
    </w:p>
    <w:p>
      <w:r>
        <w:t>il s’ensuit que le recours doit être déclaré irrecevable, sans procéder à un échange d’écriture (art. 390 al. 2 CPP a contrario);</w:t>
      </w:r>
    </w:p>
    <w:p>
      <w:r>
        <w:t>conformément à l’art. 428 al. 1 CPP, les frais de la procédure de recours sont mis à la charge des parties dans la mesure où elles ont obtenu gain de cause ou succombé; la partie dont le recours est déclaré irrecevable est également considérée avoir succombé;</w:t>
      </w:r>
    </w:p>
    <w:p>
      <w:r>
        <w:t>en l’espèce les frais de la présente procédure sont fixés à CHF 1’000.-- et mis à la charge de la recourante (v. art. 5 et 8 al. 1 du règlement du Tribunal pénal fédéral sur les frais, émoluments, dépens et indemnités de la procédure pénale fédérale [RFPPF; RS 173.713.162]).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