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BB.2024.92 vom 16. Juli 2024</w:t>
      </w:r>
    </w:p>
    <w:p>
      <w:r>
        <w:t>Bundesstrafgericht, 2024-07-16, DE</w:t>
      </w:r>
    </w:p>
    <w:p>
      <w:r>
        <w:rPr>
          <w:b/>
        </w:rPr>
        <w:t xml:space="preserve">Quelle: </w:t>
      </w:r>
      <w:r>
        <w:t>https://mcp.opencaselaw.ch/entscheid/bstger_BB.2024.92</w:t>
      </w:r>
    </w:p>
    <w:p>
      <w:r>
        <w:t>FR: TPF BB.2024.92 du 16 juillet 2024</w:t>
      </w:r>
    </w:p>
    <w:p>
      <w:r>
        <w:t>IT: TPF BB.2024.92 del 16 luglio 2024</w:t>
      </w:r>
    </w:p>
    <w:p>
      <w:pPr>
        <w:pStyle w:val="Heading2"/>
      </w:pPr>
      <w:r>
        <w:t>Regeste</w:t>
      </w:r>
    </w:p>
    <w:p>
      <w:r>
        <w:t>Stundung und Erlass (Art. 425 StPO)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April 2024 eine wesentliche Veränderung seiner persönlichen und finanzi- ellen Verhältnisse eingetreten ist;</w:t>
      </w:r>
    </w:p>
    <w:p>
      <w:r>
        <w:t>- nach dem Gesagten das Gesuch mangels ausreichender Substantiierung und Bedürftigkeitsnachweises abzuweisen ist;</w:t>
      </w:r>
    </w:p>
    <w:p>
      <w:r>
        <w:t>- bei diesem Ausgang des vorliegenden Verfahrens der Gesuchsteller dessen Kosten zu tragen hat (vgl. Art. 428 Abs. 1 StPO; Beschluss des Bundesstraf-</w:t>
      </w:r>
    </w:p>
    <w:p>
      <w:r>
        <w:t>- 5 -</w:t>
      </w:r>
    </w:p>
    <w:p>
      <w:r>
        <w:t>gerichts BB.2018.133 vom 15. Februar 2019 E. 5 m.w.H., nicht publiziert in TPF 2019 35);</w:t>
      </w:r>
    </w:p>
    <w:p>
      <w:r>
        <w:t>- die Gerichtsgebühr auf das gesetzliche Minimum von Fr. 200.-- festzusetzen ist (vgl. Art. 73 StBOG und Art. 5 und 8 Abs. 2 BStKR).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