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BB.2024.8 vom 24. Januar 2024</w:t>
      </w:r>
    </w:p>
    <w:p>
      <w:r>
        <w:t>Bundesstrafgericht, 2024-01-24, DE</w:t>
      </w:r>
    </w:p>
    <w:p>
      <w:r>
        <w:rPr>
          <w:b/>
        </w:rPr>
        <w:t xml:space="preserve">Quelle: </w:t>
      </w:r>
      <w:r>
        <w:t>https://mcp.opencaselaw.ch/entscheid/bstger_BB.2024.8</w:t>
      </w:r>
    </w:p>
    <w:p>
      <w:r>
        <w:t>FR: TPF BB.2024.8 du 24 janvier 2024</w:t>
      </w:r>
    </w:p>
    <w:p>
      <w:r>
        <w:t>IT: TPF BB.2024.8 del 24 gennaio 2024</w:t>
      </w:r>
    </w:p>
    <w:p>
      <w:pPr>
        <w:pStyle w:val="Heading2"/>
      </w:pPr>
      <w:r>
        <w:t>Regeste</w:t>
      </w:r>
    </w:p>
    <w:p>
      <w:r>
        <w:t>Beschwerde des amtlichen Verteidigers betreffend Akontozahlung (Art. 21 Abs. 4 BStKR)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April 2006 E. 1);</w:t>
      </w:r>
    </w:p>
    <w:p>
      <w:r>
        <w:t>- die Zusprechung einer Akontozahlung eine rein vorläufige, Billigkeitsüberle- gungen entspringende Massnahme darstellt, die in Art. 21 Abs. 4 BStKR mit Bezug auf die amtliche Verteidigung in Bundesstrafverfahren ihre gesetzli- che Grundlage findet (Beschluss des Bundesstrafgerichts BB.2018.142 vom 21. Dezember 2018);</w:t>
      </w:r>
    </w:p>
    <w:p>
      <w:r>
        <w:t>- der effektive Entscheid über die Festsetzung und Höhe des Honorars des amtlichen Verteidigers erst bei Verfahrensabschluss erfolgen wird (Art. 135 Abs. 1 und 2 StPO i.V.m. Art. 7 StBOG);</w:t>
      </w:r>
    </w:p>
    <w:p>
      <w:r>
        <w:t>- Akontozahlungen nur dazu dienen, die laufenden Kosten des amtlichen Ver- teidigers sicherzustellen, und zwar ungeachtet des von ihm betriebenen Auf- wandes (Entscheid des Bundesstrafgerichts BB.2005.20 vom 1. Juni 2005 E. 3);</w:t>
      </w:r>
    </w:p>
    <w:p>
      <w:r>
        <w:t>- es damit an einem anfechtbaren Beschwerdeobjekt fehlt, sodass auf die Be- schwerde nicht einzutreten ist;</w:t>
      </w:r>
    </w:p>
    <w:p>
      <w:r>
        <w:t>- der rechtskundige Beschwerdeführer dies durch Konsultierung der einschlä- gigen Gesetzesbestimmungen und Rechtsprechung ohne Weiteres hätte feststellen können, weshalb er sich auf die anderslautende Rechtsmittelbe- lehrung in der angefochtenen Verfügung nicht verlassen durfte;</w:t>
      </w:r>
    </w:p>
    <w:p>
      <w:r>
        <w:t>- bei diesem Ausgang des Verfahrens der Beschwerdeführer die Gerichtskos- ten zu tragen hat (Art. 428 Abs. 1 StPO);</w:t>
      </w:r>
    </w:p>
    <w:p>
      <w:r>
        <w:t>- die Gerichtsgebühr auf Fr. 200.-- festzusetzen ist (vgl. Art. 73 StBOG i.V.m. Art. 5 und 8 Abs. 1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