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BB.2024.61 vom 29. April 2024</w:t>
      </w:r>
    </w:p>
    <w:p>
      <w:r>
        <w:t>Bundesstrafgericht, 2024-04-29, FR</w:t>
      </w:r>
    </w:p>
    <w:p>
      <w:r>
        <w:rPr>
          <w:b/>
        </w:rPr>
        <w:t xml:space="preserve">Quelle: </w:t>
      </w:r>
      <w:r>
        <w:t>https://mcp.opencaselaw.ch/entscheid/bstger_BB.2024.61</w:t>
      </w:r>
    </w:p>
    <w:p>
      <w:r>
        <w:t>FR: TPF BB.2024.61 du 29 avril 2024</w:t>
      </w:r>
    </w:p>
    <w:p>
      <w:r>
        <w:t>IT: TPF BB.2024.61 del 29 aprile 2024</w:t>
      </w:r>
    </w:p>
    <w:p>
      <w:pPr>
        <w:pStyle w:val="Heading2"/>
      </w:pPr>
      <w:r>
        <w:t>Regeste</w:t>
      </w:r>
    </w:p>
    <w:p>
      <w:r>
        <w:t>Reconsidération, rectification (art. 83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La requête est irrecevable.</w:t>
      </w:r>
    </w:p>
    <w:p>
      <w:r>
        <w:t>2. Un émolument de CHF 500.-- est mis à la charge de la requérante.</w:t>
      </w:r>
    </w:p>
    <w:p>
      <w:r>
        <w:t>Bellinzone, le 29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Ltd - Cour des affaires pénales du Tribunal pénal fédéral - Ministère public de la Confédération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