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BB.2024.35 vom 6. März 2024</w:t>
      </w:r>
    </w:p>
    <w:p>
      <w:r>
        <w:t>Bundesstrafgericht, 2024-03-06, DE</w:t>
      </w:r>
    </w:p>
    <w:p>
      <w:r>
        <w:rPr>
          <w:b/>
        </w:rPr>
        <w:t xml:space="preserve">Quelle: </w:t>
      </w:r>
      <w:r>
        <w:t>https://mcp.opencaselaw.ch/entscheid/bstger_BB.2024.35</w:t>
      </w:r>
    </w:p>
    <w:p>
      <w:r>
        <w:t>FR: TPF BB.2024.35 du 6 mars 2024</w:t>
      </w:r>
    </w:p>
    <w:p>
      <w:r>
        <w:t>IT: TPF BB.2024.35 del 6 marzo 2024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Dezember 2013 E. 1.4 mit Hinweisen);</w:t>
      </w:r>
    </w:p>
    <w:p>
      <w:r>
        <w:t>- der Beschwerdeführer dem Angezeigten in der Strafanzeige im Wesentli- chen vorwirft, er habe als Bundespräsident die Massnahmen, die offen be- legbaren Anordnungen, Einschränkungen, Verbote und schliesslich den Druck auf Ungeimpfte zur Impfempfehlung nicht im Sinne zum Schutz der Bevölkerung ausgesprochen und durch seine Angstpropaganda die Existenz des Beschwerdeführers zerstört; die Massnahmen namentlich eine Situation geschaffen hätten, welche die Psyche seiner Frau derart belastet hätte, dass sie keinen anderen Ausweg gesehen habe, als bei der Polizei eine Falsch- aussage gegen ihn zu tätigen, woraufhin er als «Coronaverrückter» diffa- miert worden sei und aufgrund seiner Meinung als «Verschwörungstheoreti- ker» gegolten habe, was zum Verlust seiner Arbeitsstellen sowie zu einem Aufenthalt in der Psychiatrie geführt habe; der Beschwerdeführer in der Öf- fentlichkeit nunmehr als schlechter Vater dargestellt werde und sein Kind nicht mehr sehen dürfe, was er dem Angezeigten zu verdanken habe; der Beschwerdeführer in seiner Strafanzeige zudem ausführt, dass ihm infolge der vom Bundesamt für Gesundheit (BAG) und Angezeigten angeordneten Massnahmen ein finanzieller Schaden entstanden sei und er psychische</w:t>
      </w:r>
    </w:p>
    <w:p>
      <w:r>
        <w:t>- 5 -</w:t>
      </w:r>
    </w:p>
    <w:p>
      <w:r>
        <w:t>Probleme entwickelt habe, welche von ihm nicht zu bewältigen seien (Ver- fahrensakten BA, Strafanzeige vom 23. Januar 2023);</w:t>
      </w:r>
    </w:p>
    <w:p>
      <w:r>
        <w:t>- der Beschwerdeführer in seiner Strafanzeige keinen Bezug auf konkrete strafbare Handlungen nimmt, die einen hinreichenden Anfangsverdacht auf Amtsmissbrauch zu begründen vermögen;</w:t>
      </w:r>
    </w:p>
    <w:p>
      <w:r>
        <w:t>- die Beschwerdegegnerin auch zu Recht darauf hinweist, dass der Ange- zeigte die besagten Massnahmen als Mitglied eines Kollegiums und damit zusammen mit den anderen Bundesräten anordnete, weshalb nicht ersicht- lich ist, inwiefern die Lage des Beschwerdeführers lediglich durch den Ange- zeigten geschaffen worden sein soll;</w:t>
      </w:r>
    </w:p>
    <w:p>
      <w:r>
        <w:t>- wie in der angefochtenen Verfügung zutreffend ausgeführt wurde (act. 2), nicht ersichtlich ist, dass der Angezeigte Massnahmen während der Covid- 19-Pandemie anordnete, um insbesondere dem Beschwerdeführer einen Nachteil zuzufügen oder sich oder einem anderen einen unrechtmässigen Vorteil zu verschaffen;</w:t>
      </w:r>
    </w:p>
    <w:p>
      <w:r>
        <w:t>- der Beschwerdeführer somit weder in der vorliegenden Beschwerde noch in der Strafanzeige vom 23. Januar 2023 einen hinreichenden Anfangsver- dacht in Bezug auf eine Straftat darzulegen vermag;</w:t>
      </w:r>
    </w:p>
    <w:p>
      <w:r>
        <w:t>- an dieser Schlussfolgerung allfällige gegen den Angezeigten von anderen Personen eingereichte (dem Gericht nicht bekannte) Strafanzeigen nichts zu ändern vermögen;</w:t>
      </w:r>
    </w:p>
    <w:p>
      <w:r>
        <w:t>- der Beschwerdeführer ausserdem weder in seiner Strafanzeige noch in der Beschwerde darlegt, inwieweit der ihm mutmasslich entstandene Schaden in einem natürlichen und adäquaten Kausalzusammenhang zum behaupte- ten Amtsmissbrauch steht;</w:t>
      </w:r>
    </w:p>
    <w:p>
      <w:r>
        <w:t>- die Beschwerdegegnerin nach dem Gesagten zu Recht keine Strafuntersu- chung eröffnet hat;</w:t>
      </w:r>
    </w:p>
    <w:p>
      <w:r>
        <w:t>- sich die Beschwerde gegen die Nichtanhandnahmeverfügung nach dem Ge- sagten als offensichtlich unbegründet erweist, weshalb sie ohne die Durch- führung eines Schriftenwechsels abzuweisen ist (Art. 390 Abs. 2 StPO e contrario);</w:t>
      </w:r>
    </w:p>
    <w:p>
      <w:r>
        <w:t>- bei diesem Ausgang des Verfahrens die Gerichtskosten dem Beschwerde- führer aufzuerlegen sind (Art. 428 Abs. 1 StPO);</w:t>
      </w:r>
    </w:p>
    <w:p>
      <w:r>
        <w:t>- 6 -</w:t>
      </w:r>
    </w:p>
    <w:p>
      <w:r>
        <w:t>- die Gerichtskosten auf das gesetzliche Minimum von Fr. 200.-- festzusetzen sind (vgl. Art. 73 StBOG und Art. 5 und 8 Abs. 1 des Reglements des Bun- desstrafgerichts vom 31. August 2010 über die Kosten, Gebühren und Ent- schädigungen in Bundesstrafverfahren [BStKR; SR 173.713.162]);</w:t>
      </w:r>
    </w:p>
    <w:p>
      <w:r>
        <w:t>- die mit der Beschwerde dem Gericht eingereichten (umfangreichen, nicht geordneten) Beilagen dem Beschwerdeführer retourniert werden.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