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BB.2024.23 vom 12. Februar 2024</w:t>
      </w:r>
    </w:p>
    <w:p>
      <w:r>
        <w:t>Bundesstrafgericht, 2024-02-12, FR</w:t>
      </w:r>
    </w:p>
    <w:p>
      <w:r>
        <w:rPr>
          <w:b/>
        </w:rPr>
        <w:t xml:space="preserve">Quelle: </w:t>
      </w:r>
      <w:r>
        <w:t>https://mcp.opencaselaw.ch/entscheid/bstger_BB.2024.23</w:t>
      </w:r>
    </w:p>
    <w:p>
      <w:r>
        <w:t>FR: TPF BB.2024.23 du 12 février 2024</w:t>
      </w:r>
    </w:p>
    <w:p>
      <w:r>
        <w:t>IT: TPF BB.2024.23 del 12 febbraio 2024</w:t>
      </w:r>
    </w:p>
    <w:p>
      <w:pPr>
        <w:pStyle w:val="Heading2"/>
      </w:pPr>
      <w:r>
        <w:t>Regeste</w:t>
      </w:r>
    </w:p>
    <w:p>
      <w:r>
        <w:t>Récusation d'un membre du Ministère public de la Confédération (art. 59 al. 1 let. b en lien avec l'art. 56 CPP)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al. 1 de la loi fédérale du 19 mars 2010 sur l'organisation des autorités pénales de la Confédération [LOAP; RS 173.71]);</w:t>
      </w:r>
    </w:p>
    <w:p>
      <w:r>
        <w:t>en l’espèce, à l’appui de sa requête, le requérant reprend le contenu de sa plainte du 7 août 2023, par laquelle il demandait la récusation du Procureur général de la Confédération et du Procureur général suppléant de la Confédération, ainsi que de « tout procureur astreint par subordination à la gouvernance du MPC », en raison du fait que « – par ordre de gouvernance – il n’appartient pas au MPC d’appréhender l’illicite d’actes juridiques de tribunal », que « le MPC s’autorise la commission d’actes de tribunal d’exception qu’interdisent l’art. 30 Cst et l’art. 317 CP », que « le MPC simule son autorité d’appréhender en fait et en droit les actes juridiques du Conseil fédéral » (act. 1, p. 2);</w:t>
      </w:r>
    </w:p>
    <w:p>
      <w:r>
        <w:t>ce faisant, dans la mesure de l’intelligibilité de ses écrits, le requérant ne fait valoir aucun motif de récusation concret et individuel à l’encontre du Procureur fédéral, comme cela est pourtant exigé (y compris lorsque la demande est formulée « en bloc » contre une autorité; décision du Tribunal pénal fédéral BB.2022.58 du 27 mai 2022 consid. 2.1.3 et références citées);</w:t>
      </w:r>
    </w:p>
    <w:p>
      <w:r>
        <w:t>il semble, en outre, lui-même écarter la possibilité que le Procureur fédéral dont il demande la récusation « nourrisse un grief personnel envers [lui] » (act. 1, p. 3);</w:t>
      </w:r>
    </w:p>
    <w:p>
      <w:r>
        <w:t>en définitive, le seul reproche formulé à l’encontre du Procureur fédéral B. est d’avoir rendu une décision défavorable au requérant, en l’occurrence, l’ordonnance de non entrée en matière du 15 janvier 2024;</w:t>
      </w:r>
    </w:p>
    <w:p>
      <w:r>
        <w:t>or, ce simple fait ne constitue pas un motif de récusation (v. ATF 114 Ia 278 consid. 1);</w:t>
      </w:r>
    </w:p>
    <w:p>
      <w:r>
        <w:t>au vu de ce qui précède, la demande de récusation est rejetée, dans la mesure de sa recevabilité;</w:t>
      </w:r>
    </w:p>
    <w:p>
      <w:r>
        <w:t>les frais de procédure sont mis à la charge du requérant lorsque la demande de récusation est rejetée ou manifestement tardive ou téméraire (art. 59 al. 4 2e phrase CPP);</w:t>
      </w:r>
    </w:p>
    <w:p>
      <w:r>
        <w:t>vu le sort de la cause, il incombe au requérant de supporter les frais, lesquels prennent en l’espèce la forme d’un émolument qui, en application des art. 5 et 8 du règlement du Tribunal pénal fédéral du 31 août 2010 sur les frais, émoluments, dépens et indemnités de la procédure pénale fédérale (RS 173.713.162), est fixé à CHF 500.--.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