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BB.2024.154 vom 2. Januar 2025</w:t>
      </w:r>
    </w:p>
    <w:p>
      <w:r>
        <w:t>Bundesstrafgericht, 2025-01-02, DE</w:t>
      </w:r>
    </w:p>
    <w:p>
      <w:r>
        <w:rPr>
          <w:b/>
        </w:rPr>
        <w:t xml:space="preserve">Quelle: </w:t>
      </w:r>
      <w:r>
        <w:t>https://mcp.opencaselaw.ch/entscheid/bstger_BB.2024.154</w:t>
      </w:r>
    </w:p>
    <w:p>
      <w:r>
        <w:t>FR: TPF BB.2024.154 du 2 janvier 2025</w:t>
      </w:r>
    </w:p>
    <w:p>
      <w:r>
        <w:t>IT: TPF BB.2024.154 del 2 gennaio 2025</w:t>
      </w:r>
    </w:p>
    <w:p>
      <w:pPr>
        <w:pStyle w:val="Heading2"/>
      </w:pPr>
      <w:r>
        <w:t>Regeste</w:t>
      </w:r>
    </w:p>
    <w:p>
      <w:r>
        <w:t>Nichtanhandnahmeverfügung (Art. 310 i.V.m. Art. 322 Abs. 2 StPO)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November 2015 E. 3.3.1; 1B_363/2014 vom 7. Januar 2015 E. 2.1; 6B_130/2013 vom 3. Juni 2013 E. 3.2; vgl. auch zum Ganzen zuletzt u.a. Urteil des Bundesgerichts 6B_1532/2022 vom 8. Februar 2023 E. 3);</w:t>
      </w:r>
    </w:p>
    <w:p>
      <w:r>
        <w:t>- die Beschwerde vom 10. Dezember 2024 damit die gesetzlichen Anforde- rungen von Art. 385 Abs. 1 StPO nicht erfüllt;</w:t>
      </w:r>
    </w:p>
    <w:p>
      <w:r>
        <w:t>- 4 -</w:t>
      </w:r>
    </w:p>
    <w:p>
      <w:r>
        <w:t>- gemäss Art. 385 Abs. 2 StPO die Rechtsmittelinstanz die Eingabe zur Verbesserung innerhalb einer kurzen Nachfrist zurückweist, wenn sie Anfor- derungen von Art. 385 Abs. 1 StPO nicht erfüllt;</w:t>
      </w:r>
    </w:p>
    <w:p>
      <w:r>
        <w:t>- das Bundesgericht eine 7-tägige Nachfrist – für eine mutmasslich in der Slowakei wohnende Beschwerdeführerin – als eher kurz befand (Urteil des Bundesgericht 6B_202/2018 vom 11. Mai 2018 E. 1.4);</w:t>
      </w:r>
    </w:p>
    <w:p>
      <w:r>
        <w:t>- in der Literatur vertreten wird, die Nachfrist sei in der Regel auf fünf Tage zu befristen (vgl. BÄHLER, a.a.O., Art. 385 StPO N. 6; LIEBER, a.a.O., Art. 385 StPO N. 3) bzw. die Obergrenze einer derartigen Nachfrist liege bei drei Tagen (GUIDON, a.a.O., N. 412);</w:t>
      </w:r>
    </w:p>
    <w:p>
      <w:r>
        <w:t>- es sich bei der Nachfrist gemäss Art. 385 Abs. 2 StPO nicht um eine gesetz- liche, sondern um eine behördliche Frist handelt, die grundsätzlich gemäss Art. 92 StPO erstreckt werden kann (vgl. Urteile des Bundesgerichts 6B_202/2018 vom 11. Mai 2018 E. 1.4; 6B_1004/2015 vom 5. April 2016 E. 3.2);</w:t>
      </w:r>
    </w:p>
    <w:p>
      <w:r>
        <w:t>- dies – da es um die Erstreckung einer Nachfrist und damit keiner «gewöhn- liche» Frist geht – die Ausnahme bleiben muss und hierfür in der Regel qualifizierte Gründe vorliegen müssen, die eine Wiederherstellung der Frist rechtfertigen würden oder ein ähnlich hohes Gewicht haben (vgl. – zum Verwaltungsverfahren – SEETHALER/PORTMANN, in: Waldmann/Krauskopf [Hrsg.], Praxiskommentar Verwaltungsverfahrensgesetz, 3. Aufl. 2023, Art. 52 VwVG N. 112);</w:t>
      </w:r>
    </w:p>
    <w:p>
      <w:r>
        <w:t>- die Beschwerdekammer mit Schreiben vom 13. Dezember 2024 C.B. eine Frist bis Montag, 23. Dezember 2024, zur Verbesserung seiner Eingabe an- setzte (act. 2);</w:t>
      </w:r>
    </w:p>
    <w:p>
      <w:r>
        <w:t>- gemäss Sendungsverfolgung der Post das Schreiben der Beschwerdekam- mer vom 13. Dezember 2024 am 16. Dezember 2024 ins Postfach zur Abho- lung am Schalter avisiert und am Samstag, 21. Dezember 2024, 07.30 Uhr, zugestellt wurde (act. 4);</w:t>
      </w:r>
    </w:p>
    <w:p>
      <w:r>
        <w:t>- C.B. damit jedenfalls zwei Tage zur Einreichung der Verbesserung der Be- schwerde zur Verfügung standen;</w:t>
      </w:r>
    </w:p>
    <w:p>
      <w:r>
        <w:t>- C.B. keine Gründe glaubhaft macht, die eine Wiederherstellung der Frist rechtfertigen würden oder ein ähnlich hohes Gewicht haben;</w:t>
      </w:r>
    </w:p>
    <w:p>
      <w:r>
        <w:t>- 5 -</w:t>
      </w:r>
    </w:p>
    <w:p>
      <w:r>
        <w:t>- insbesondere nicht ersichtlich ist, weshalb es für ihn nicht möglich gewesen sein soll, bis zum 23. Dezember 2024 eine den Anforderungen von Art. 385 Abs. 1 StPO genügende Beschwerde selbst einzureichen oder von einem Rechtsbeistand einreichen zu lassen;</w:t>
      </w:r>
    </w:p>
    <w:p>
      <w:r>
        <w:t>- nach dem Gesagten das Gesuch um Erstreckung der Nachfrist zur Verbes- serung der Beschwerde abzuweisen ist;</w:t>
      </w:r>
    </w:p>
    <w:p>
      <w:r>
        <w:t>- sich den Eingaben von C.B. auch nach entsprechender Aufforderung zur Verbesserung seiner Beschwerde insbesondere nicht entnehmen lässt, aus welchen Gründen die Nichtanhandnahme und Weiterleitung der Strafan- zeige vom 22. September 2024 an die Staatsanwaltschaft des Kantons St. Gallen falsch sei;</w:t>
      </w:r>
    </w:p>
    <w:p>
      <w:r>
        <w:t>- auf die im Namen von C.B. erhobene Beschwerde nach dem Gesagten an- drohungsgemäss und ohne weiteren Schriftenwechsel ebenfalls nicht einzu- treten ist (vgl. Art. 390 Abs. 2 StPO e contrario);</w:t>
      </w:r>
    </w:p>
    <w:p>
      <w:r>
        <w:t>- bei diesem Ausgang des Verfahrens die Gerichtskosten grundsätzlich den Beschwerdeführern aufzuerlegen sind (vgl. Art. 428 Abs. 1 StPO); †A.B. mangels (prozessualer) Rechtsfähigkeit keine Kosten auferlegt werden kön- nen; insoweit die Gerichtskosten C.B. aufzuerlegen sind, der das Verfahren veranlasst hat (vgl. BGE 129 I 302 E. 2);</w:t>
      </w:r>
    </w:p>
    <w:p>
      <w:r>
        <w:t>- die Gerichtsgebühr auf Fr. 200.– festzusetzen ist (vgl. Art. 73 StBOG und Art. 5 und 8 Abs. 1 BStKR);</w:t>
      </w:r>
    </w:p>
    <w:p>
      <w:r>
        <w:t>- 6 -</w:t>
      </w:r>
    </w:p>
    <w:p>
      <w:r>
        <w:t>und erkennt:</w:t>
      </w:r>
    </w:p>
    <w:p>
      <w:r>
        <w:t>1. Das Gesuch um Erstreckung der Nachfrist zur Verbesserung der Beschwerde wird abgewiesen.</w:t>
      </w:r>
    </w:p>
    <w:p>
      <w:r>
        <w:t>2. Auf die Beschwerde wird nicht eingetreten.</w:t>
      </w:r>
    </w:p>
    <w:p>
      <w:r>
        <w:t>3. Die Gerichtsgebühr von Fr. 200.– wird C.B. auferlegt.</w:t>
      </w:r>
    </w:p>
    <w:p>
      <w:r>
        <w:t>Bellinzona, 2. Januar 2025</w:t>
      </w:r>
    </w:p>
    <w:p>
      <w:r>
        <w:t>Im Namen der Beschwerdekammer des Bundesstrafgerichts</w:t>
      </w:r>
    </w:p>
    <w:p>
      <w:r>
        <w:t>Der Vizepräsident: Der Gerichtsschreiber:</w:t>
      </w:r>
    </w:p>
    <w:p>
      <w:r>
        <w:t>Zustellung an</w:t>
      </w:r>
    </w:p>
    <w:p>
      <w:r>
        <w:t>- C.B. - Bundesanwaltschaft (unter Beilager je einer Kopie von act. 1 [mitsamt Beila- gen] und act. 3 [mitsamt Beilage])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