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BB.2024.137 vom 25. November 2024</w:t>
      </w:r>
    </w:p>
    <w:p>
      <w:r>
        <w:t>Bundesstrafgericht, 2024-11-25, DE</w:t>
      </w:r>
    </w:p>
    <w:p>
      <w:r>
        <w:rPr>
          <w:b/>
        </w:rPr>
        <w:t xml:space="preserve">Quelle: </w:t>
      </w:r>
      <w:r>
        <w:t>https://mcp.opencaselaw.ch/entscheid/bstger_BB.2024.137</w:t>
      </w:r>
    </w:p>
    <w:p>
      <w:r>
        <w:t>FR: TPF BB.2024.137 du 25 novembre 2024</w:t>
      </w:r>
    </w:p>
    <w:p>
      <w:r>
        <w:t>IT: TPF BB.2024.137 del 25 novembre 2024</w:t>
      </w:r>
    </w:p>
    <w:p>
      <w:pPr>
        <w:pStyle w:val="Heading2"/>
      </w:pPr>
      <w:r>
        <w:t>Regeste</w:t>
      </w:r>
    </w:p>
    <w:p>
      <w:r>
        <w:t>Nichtanhandnahmeverfügung (Art. 310 i.V.m. Art. 322 Abs. 2 StPO); Unentgeltliche Rechtspflege für die Privatklägerschaft im Beschwerdeverfahren (Art. 136 Abs. 1 StPO)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Januar 2015 E. 2.1; 6B_130/2013 vom 3. Juni 2013 E. 3.2); die innert gesetzlicher Frist gemachten Ausführungen sich ebenso wenigstens ansatz- weise auf die Begründung der angefochtenen Nichtanhandnahmeverfügung beziehen müssen (Urteil des Bundesgerichts 6B_280/2017 vom</w:t>
      </w:r>
    </w:p>
    <w:p>
      <w:r>
        <w:t>- 4 -</w:t>
      </w:r>
    </w:p>
    <w:p>
      <w:r>
        <w:rPr>
          <w:b/>
        </w:rPr>
        <w:t>E. 9</w:t>
      </w:r>
    </w:p>
    <w:p>
      <w:r>
        <w:t>Juni 2017 E. 2.2.2; vgl. zuletzt u.a. Urteil des Bundesgerichts 7B_385/2023 vom 24. Mai 2024 E. 2.1);</w:t>
      </w:r>
    </w:p>
    <w:p>
      <w:r>
        <w:t>- die Beschwerdegegnerin in der angefochtenen Verfügung namentlich erwog, der Beschwerdeführer fordere die «Strafverfolgung» wegen «Verbrechen gegen die Menschlichkeit» und führe eine Reihe weiterer Straftatbestände an, namentlich «[…] Versuchter Mord […] Nötigung […] Amtsmissbrauch […] Betrug […] Organisierte Kriminalität […]» gegen Institutionen «[a]uf Bund, Kanton, Gemeinde Ebenen» bzw. wohl insbesondere Mitarbeiter der Sozia- len Dienste B.; er mache zusammengefasst geltend, nicht näher bezeichnete Mitarbeiter der Sozialen Dienste B. sowie «Mitarbeiter/innen diverser Institu- tionen (Departement des Innern, Staatsanwaltschaft, diverser Gerichte)» hätten ihm durch die Einstellung der bis November 2022 gewährten Sozial- leistungen einen «Vermögensentzug» verursacht und ihn so in die Schulden getrieben; dadurch sollten diese unter anderem den Tatbestand des Verbre- chens gegen die Menschlichkeit erfüllt und ihn in seinen Eigentumsrechten verletzt haben;</w:t>
      </w:r>
    </w:p>
    <w:p>
      <w:r>
        <w:t>- die Beschwerdegegnerin in der angefochtenen Verfügung namentlich erwog, der Beschwerdeführer mache keine belegbaren Ausführungen, die einen hinreichenden Anfangsverdacht begründen könnten, zumal blosse Mutmas- sungen dafür nicht genügten; die Voraussetzungen für die Eröffnung eines Strafverfahrens mangels eines hinreichenden Tatverdachts eindeutig nicht erfüllt seien und daher, soweit eine Bundeszuständigkeit vorliege, direkt die Nichtanhandnahme gemäss Art. 310 Abs. 1 lit. a StPO zu verfügen sei;</w:t>
      </w:r>
    </w:p>
    <w:p>
      <w:r>
        <w:t>- der Beschwerdeführer in seiner Beschwerde namentlich ausführt, der Staatsanwalt des Bundes praktiziere und unterstütze «Unterlassene Hilfe- leistung, Rechtsbeugung, Falschaussagen, Falschdarstellungen, also Amts- missbrauch, und Unmenschlicher Vermögensentzug also Folter, Quälen, Raub, an einem Schutzbefohlenen»; es werde billigend in Kauf genommen, dass er als Schutzbefohlener, in einer für ihn lebensbedrohlichen, durch to- xischen Schimmel betroffenen Wohnsituation langsam krepieren müsse; der «Vorwurf Versuchter Mord, Versuchter Totschlag, sowie versuchte und voll- endete Körperverletzung, an C. und mir durch alle im Netzwerk der Verbre- chen gegen die Menschlichkeit, beteiligten VMDTT [Voraussichtlichen, Mut- masslichen, Dreckschmeissenden, Täter und Täterinnen]» sei berechtigt (act. 1 S. 1); der Aussage des Staatsanwalts des Bundes, «da wäre, nix, kein Tatverdacht, es wären pauschale Schuldzuweisungen, Gerüchte, oder Ver- mutungen und diese nicht genügten», müsse er energisch widersprechen; er habe das im «provisorischen Strafverfolgung Antrag» ausführlich darge- stellt; alle «VMDTT» seien unmenschlich, grausam, gnadenlos,</w:t>
      </w:r>
    </w:p>
    <w:p>
      <w:r>
        <w:t>- 5 -</w:t>
      </w:r>
    </w:p>
    <w:p>
      <w:r>
        <w:t>schonungslos, kaltblütig, unbarmherzig, inhuman (act. 1 S. 2); er habe mit diversen Anträgen an diverse Gerichte auf kantonaler und eidgenössischer Ebene erfolglos versucht, «das zwingende primäre Dokument, nach Sozial- gesetz § 152 die Bemessung nach SKOS, Einnahmen &amp; Ausgaben Ver- gleich meines Haushaltes, in der Zeit von April 2012 bis Austritt Dezember 2024 aus der B., einzufordern» (act. 1 S. 3); in den Dokumenten der «VMDTT» der B. fehle «die zwingende Eintrittsbemessung, also Ausgaben und Einnahmen Vergleich, von meinem Haushalt»; es fehle «die Existenzsi- cherung, also Rücklagenbildung, Schuldentilgung»; es fehle «die Darstel- lung der Freibeträge»; die Darstellung der Dokumente sei «Falschdarstel- lung, Falschinterpretation, Falschaussage, also Amtsmissbrauch, durch Unterlassung der zwingenden Eintrittsbemessung, also Ausgaben und Ein- nahmen Vergleich, von meinem Haushalt» (act. 1 S. 4); es sei ihm unent- geltliche Rechtspflege zu sprechen, «gegen alle VMDTT aller Institutionen»; ein «qualifizierter m/w Anwalt» müsse alles darstellen; er fühle sich nicht schuldig an den Schulden, die ihm in unmenschlicher Weise reingewürgt worden seien (act. 1 S. 5 f.); es sei dringend nötig, ihm «auf zukünftige Wie- dergutmachung, Genugtuung Schadenersatzforderungen Schmerzensgeld einen Kostenvorschuss zu gewähren», «400'000 CHF, damit ich zum Toxi- schen Schimmel herauskomme» (act. 1 S. 6);</w:t>
      </w:r>
    </w:p>
    <w:p>
      <w:r>
        <w:t>- sich aus der Beschwerde nicht ergibt, was an den Ausführungen der Be- schwerdegegnerin in tatsächlicher oder rechtlicher Hinsicht fehlerhaft sein sollte; der Beschwerdeführer in seiner Beschwerde keinen konkreten Le- benssachverhalt bezeichnet, der grundsätzlich geeignet wäre, einen der an- gezeigten Straftatbestände zu erhärten;</w:t>
      </w:r>
    </w:p>
    <w:p>
      <w:r>
        <w:t>- die Beschwerde offensichtlich keine hinreichende Begründung enthält und keine Nachfrist zur Verbesserung zu gewähren ist;</w:t>
      </w:r>
    </w:p>
    <w:p>
      <w:r>
        <w:t>- sich die Beschwerde nach dem Gesagten als offensichtlich unzulässig erweist, weshalb auf sie ohne Schriftenwechsel nicht einzutreten ist (vgl. Art. 390 Abs. 2 StPO e contrario);</w:t>
      </w:r>
    </w:p>
    <w:p>
      <w:r>
        <w:t>- die vorliegende Beschwerde unter diesen Umständen als aussichtslos zu bezeichnen ist, weshalb das Gesuch des Beschwerdeführers betreffend un- entgeltliche Rechtspflege bereits aus diesem Grund abzuweisen ist (vgl. Art. 136 Abs. 1 StPO);</w:t>
      </w:r>
    </w:p>
    <w:p>
      <w:r>
        <w:t>- vorliegend ausnahmsweise auf die Erhebung einer Gerichtsgebühr zu ver- zichten ist (vgl. Art. 73 Abs. 2 StBOG sowie Art. 5 des Reglements des</w:t>
      </w:r>
    </w:p>
    <w:p>
      <w:r>
        <w:t>- 6 -</w:t>
      </w:r>
    </w:p>
    <w:p>
      <w:r>
        <w:t>Bundesstrafgerichts vom 31. August 2010 über die Kosten, Gebühren und Entschädigungen in Bundesstrafverfahren [BStKR; SR 173.713.162]);</w:t>
      </w:r>
    </w:p>
    <w:p>
      <w:r>
        <w:t>- 7 -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