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BB.2024.118 vom 19. September 2024</w:t>
      </w:r>
    </w:p>
    <w:p>
      <w:r>
        <w:t>Bundesstrafgericht, 2024-09-19, DE</w:t>
      </w:r>
    </w:p>
    <w:p>
      <w:r>
        <w:rPr>
          <w:b/>
        </w:rPr>
        <w:t xml:space="preserve">Quelle: </w:t>
      </w:r>
      <w:r>
        <w:t>https://mcp.opencaselaw.ch/entscheid/bstger_BB.2024.118</w:t>
      </w:r>
    </w:p>
    <w:p>
      <w:r>
        <w:t>FR: TPF BB.2024.118 du 19 septembre 2024</w:t>
      </w:r>
    </w:p>
    <w:p>
      <w:r>
        <w:t>IT: TPF BB.2024.118 del 19 settembre 2024</w:t>
      </w:r>
    </w:p>
    <w:p>
      <w:pPr>
        <w:pStyle w:val="Heading2"/>
      </w:pPr>
      <w:r>
        <w:t>Regeste</w:t>
      </w:r>
    </w:p>
    <w:p>
      <w:r>
        <w:t>Nichtanhandnahmeverfügung (Art. 310 i.V.m. Art. 322 Abs. 2 StPO); 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März 2013 [GOKG/LU; SRL Nr. 263]), was auch der Rechtsmittelbeleh- rung der angefochtenen Nichtanhandnahmeverfügung entnommen werden kann;</w:t>
      </w:r>
    </w:p>
    <w:p>
      <w:r>
        <w:t>- der Beschwerdeführer in seinem Schreiben vom 15. September 2024 an die Beschwerdekammer inhaltlich auch die vorliegende Nichtanhandnahmever- fügung kritisiert;</w:t>
      </w:r>
    </w:p>
    <w:p>
      <w:r>
        <w:t>- die Eingabe, soweit sie sich gegen die Nichtanhandnahmeverfügung vom 22. August 2024 richtet, nach dem Gesagten zuständigkeitshalber dem Kan- tonsgericht des Kantons Luzern zu überweisen ist (vgl. Art. 91 Abs. 4 StPO);</w:t>
      </w:r>
    </w:p>
    <w:p>
      <w:r>
        <w:t>- zur sinngemäss ebenfalls angefochtenen Übernahmeverfügung vom 22. Au- gust 2024 Folgendes festzuhalten ist;</w:t>
      </w:r>
    </w:p>
    <w:p>
      <w:r>
        <w:t>- eine Partei, die die Zuständigkeit der mit dem Strafverfahren befassten Behörde anfechten will, dieser unverzüglich die Überweisung des Falles an die zuständige Behörde zu beantragen hat (Art. 41 Abs. 1 StPO);</w:t>
      </w:r>
    </w:p>
    <w:p>
      <w:r>
        <w:t>- die mit dem Strafverfahren befasste Behörde das rechtliche Gehör gewährt und eine anfechtbare Verfügung erlässt;</w:t>
      </w:r>
    </w:p>
    <w:p>
      <w:r>
        <w:t>- die Einigung zwischen den kantonalen Strafbehörden bzw. zwischen der Bundesanwaltschaft und den kantonalen Strafbehörden interner Natur ist und nicht direkt angefochten werden kann (TPF 2013 179 E. 1; Beschlüsse des Bundesstrafgerichts BG.2024.8 vom 12. März 2024; BG.2023.12 vom 5. April 2023 E. 1.2; BG.2022.41 vom 29. November 2022);</w:t>
      </w:r>
    </w:p>
    <w:p>
      <w:r>
        <w:t>- im vorliegenden Fall der auf die Änderung der Zuständigkeit zur Bearbeitung der Strafsache gerichtete Antrag grundsätzlich der Beschwerdegegnerin zu überweisen wäre;</w:t>
      </w:r>
    </w:p>
    <w:p>
      <w:r>
        <w:t>- sich im vorliegenden Fall ein solches Vorgehen jedoch erübrigt, da ein sol- cher Wechsel der Zuständigkeit sinnvollerweise nur während einem hängi- gen Verfahren verlangt werden kann;</w:t>
      </w:r>
    </w:p>
    <w:p>
      <w:r>
        <w:t>- die Beschwerdekammer aufgrund des vorstehend Ausgeführten betreffend Übernahmeverfügung vom 22. August 2024 kein Beschwerdeverfahren er- öffnet (vgl. zum Ganzen bereits den Beschluss des Bundesstrafgerichts BB.2023.126 vom 10. Juli 2023);</w:t>
      </w:r>
    </w:p>
    <w:p>
      <w:r>
        <w:t>- 4 -</w:t>
      </w:r>
    </w:p>
    <w:p>
      <w:r>
        <w:t>- vorliegend mangels nennenswerten Aufwands ausnahmsweise keine Gerichtsgebühr zu erheben ist (vgl. Art. 73 Abs. 2 StBOG sowie Art. 5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