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BB.2024.117 vom 23. September 2024</w:t>
      </w:r>
    </w:p>
    <w:p>
      <w:r>
        <w:t>Bundesstrafgericht, 2024-09-23, DE</w:t>
      </w:r>
    </w:p>
    <w:p>
      <w:r>
        <w:rPr>
          <w:b/>
        </w:rPr>
        <w:t xml:space="preserve">Quelle: </w:t>
      </w:r>
      <w:r>
        <w:t>https://mcp.opencaselaw.ch/entscheid/bstger_BB.2024.117</w:t>
      </w:r>
    </w:p>
    <w:p>
      <w:r>
        <w:t>FR: TPF BB.2024.117 du 23 septembre 2024</w:t>
      </w:r>
    </w:p>
    <w:p>
      <w:r>
        <w:t>IT: TPF BB.2024.117 del 23 settembre 2024</w:t>
      </w:r>
    </w:p>
    <w:p>
      <w:pPr>
        <w:pStyle w:val="Heading2"/>
      </w:pPr>
      <w:r>
        <w:t>Regeste</w:t>
      </w:r>
    </w:p>
    <w:p>
      <w:r>
        <w:t>Hausdurchung (Art. 244 f. StPO); Durchsuchung von Aufzeichnungen (Art. 246 f. StPO); aufschiebende Wirkung (Art. 387 StPO); vorsorgliche Massnahmen (Art. 388 StPO)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März 2013 E. 2.2; 1B_310/2012 vom 22. August 2012 E. 2);</w:t>
      </w:r>
    </w:p>
    <w:p>
      <w:r>
        <w:t>- etwa die Frage, ob die Durchsuchung rechtens war oder die Frage der Aus- sonderung von sichergestellten Dokumenten und Daten, gegebenenfalls im Entsiegelungsverfahren oder im Beschwerdeverfahren gegen eine allfällige Beschlagnahme geprüft werden können;</w:t>
      </w:r>
    </w:p>
    <w:p>
      <w:r>
        <w:t>- ferner für separate Feststellungen in der Regel ohnehin kein rechtlich geschütztes Interesse besteht; entsprechend auf den Antrag, es sei festzu- stellen, dass die Hausdurchsuchung rechtswidrig war, nicht einzutreten ist;</w:t>
      </w:r>
    </w:p>
    <w:p>
      <w:r>
        <w:t>- dementsprechend auf die Beschwerde vollumfänglich nicht einzutreten ist;</w:t>
      </w:r>
    </w:p>
    <w:p>
      <w:r>
        <w:t>- sämtliche prozessualen Anträge der Beschwerdeführerin mit dem vorliegen- den Entscheid hinfällig werden und als gegenstandslos abzuschreiben sind;</w:t>
      </w:r>
    </w:p>
    <w:p>
      <w:r>
        <w:t>- bei diesem Ausgang des Verfahrens die Beschwerdeführerin die Gerichts- kosten zu tragen hat (Art. 428 Abs. 1 StPO);</w:t>
      </w:r>
    </w:p>
    <w:p>
      <w:r>
        <w:t>- die Gerichtsgebühr auf Fr. 500.– festzusetzen ist (vgl. Art. 73 StBOG i.V.m. Art. 5 und Art. 8 Abs. 1 BStKR).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