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BB.2024.116 vom 18. Dezember 2024</w:t>
      </w:r>
    </w:p>
    <w:p>
      <w:r>
        <w:t>Bundesstrafgericht, 2024-12-18, DE</w:t>
      </w:r>
    </w:p>
    <w:p>
      <w:r>
        <w:rPr>
          <w:b/>
        </w:rPr>
        <w:t xml:space="preserve">Quelle: </w:t>
      </w:r>
      <w:r>
        <w:t>https://mcp.opencaselaw.ch/entscheid/bstger_BB.2024.116</w:t>
      </w:r>
    </w:p>
    <w:p>
      <w:r>
        <w:t>FR: TPF BB.2024.116 du 18 décembre 2024</w:t>
      </w:r>
    </w:p>
    <w:p>
      <w:r>
        <w:t>IT: TPF BB.2024.116 del 18 dicembre 2024</w:t>
      </w:r>
    </w:p>
    <w:p>
      <w:pPr>
        <w:pStyle w:val="Heading2"/>
      </w:pPr>
      <w:r>
        <w:t>Regeste</w:t>
      </w:r>
    </w:p>
    <w:p>
      <w:r>
        <w:t>Durchsuchung von Aufzeichnungen (Art. 246 f. StPO); aufschiebende Wirkung (Art. 387 StPO) / vorsorgliche Massnahmen (Art. 388 StPO); amtliche Verteidigung im Beschwerdeverfahren Art. 132 Abs. 1 lit. b StPO</w:t>
      </w:r>
    </w:p>
    <w:p>
      <w:pPr>
        <w:pStyle w:val="Heading2"/>
      </w:pPr>
      <w:r>
        <w:t>Erwägungen</w:t>
      </w:r>
    </w:p>
    <w:p>
      <w:r>
        <w:rPr>
          <w:b/>
        </w:rPr>
        <w:t>E. 1.1.1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1.1.2</w:t>
      </w:r>
    </w:p>
    <w:p>
      <w:r>
        <w:t>Aus den dem Gericht eingereichten Akten geht nicht hervor, wann die ange- fochtenen Verfügungen dem Beschwerdeführer eröffnet wurden. Indes be- stätigt die Beschwerdegegnerin die Angaben des Beschwerdeführers, wo- nach ihm die Verfügungen vom 21. August 2023, 4. September 2023 und 18. Juni 2024 anlässlich der Hafteinvernahme vom 4. September 2024 aus- gehändigt wurden (act. 1, S. 3; act. 4, S. 6). Die am 16. September 2024 eingereichte Beschwerde ist unter diesen Umständen als fristgerecht erho- ben zu erachten.</w:t>
      </w:r>
    </w:p>
    <w:p>
      <w:r>
        <w:rPr>
          <w:b/>
        </w:rPr>
        <w:t>E. 1.2.1</w:t>
      </w:r>
    </w:p>
    <w:p>
      <w:r>
        <w:t>Ihren Hauptantrag auf Nichteintreten auf die Beschwerde begründet die Be- schwerdegegnerin damit, dass sich die angefochtenen Durchsuchungsbe- fehle auf Art. 241 ff. i.V.m. Art. 246 ff. StPO stützen und den Zugriff auf den Server im Reisebüro B. Travel mit rechtmässig erhobenen Zugangsdaten</w:t>
      </w:r>
    </w:p>
    <w:p>
      <w:r>
        <w:t>- 5 -</w:t>
      </w:r>
    </w:p>
    <w:p>
      <w:r>
        <w:t>beschlagen würden, welche über die vom ZMG am 15. August 2023 und 13. Mai 2024 genehmigten Überwachungsmassnahme […] (Art. 269 StPO i.V.m. Art. 55 VÜPF) betreffend […] erhoben worden seien. Die sich auf dem betreffenden Server befindlichen Daten seien bereits heruntergeladen, foren- sisch gesichert und jeweils auf zwei USB-Sticks kopiert und unverzüglich versiegelt worden. Die drei Durchsuchungsbefehle seien damit bereits ab- schliessend vollzogen worden, weshalb das aktuelle Rechtsschutzinteresse des Beschwerdeführers nicht gegeben sei (act. 4, S. 2 ff.).</w:t>
      </w:r>
    </w:p>
    <w:p>
      <w:r>
        <w:rPr>
          <w:b/>
        </w:rPr>
        <w:t>E. 1.2.2</w:t>
      </w:r>
    </w:p>
    <w:p>
      <w:r>
        <w:t>Der Beschwerdeführer hält dem entgegen, er wisse nicht, ob die Zwangs- massnahme gesetzmässig angeordnet worden sei, wann sie erfolgt sei und was sie umfasse. Seiner Ansicht nach handle es sich bei den angeordneten Durchsuchungen um geheime Überwachungsmassnahmen i.S.v. Art. 269 ff. StPO und die daraus gewonnenen Erkenntnisse seien mangels Genehmigung durch das ZMG gestützt auf Art. 141 Abs. 1 i.V.m. Art. 277 und Art. 289 Abs. 6 StPO unverwertbar und sofort zu vernichten. Bei der Frage, ob die erfolgten Durchsuchungen als geheime Überwachungsmassnahmen oder Durchsu- chungen nach Art. 241 ff. i.V.m. Art. 246 ff. StPO zu qualifizieren seien, handle es sich um eine doppelrelevante Tatsache, die sowohl für die Eintretensprü- fung als auch für die materielle Prüfung entscheidend sei (act. 7, S. 2).</w:t>
      </w:r>
    </w:p>
    <w:p>
      <w:r>
        <w:rPr>
          <w:b/>
        </w:rPr>
        <w:t>E. 1.3.1</w:t>
      </w:r>
    </w:p>
    <w:p>
      <w:r>
        <w:t>Zur Beschwerde berechtigt ist jede Partei oder jeder andere Verfahrensbe- teiligte mit einem rechtlich geschützten Interesse an der Aufhebung oder Än- derung des angefochtenen Entscheides (Art. 382 Abs. 1 i.V.m. Art. 105 Abs. 2 StPO). Das Interesse an der Aufhebung oder Änderung eines Ent- scheides gemäss Art. 382 Abs. 1 StPO hat nach der bundesgerichtlichen Rechtsprechung ein aktuelles und praktisches zu sein (statt vieler: Urteil des Bundesgerichts 6B_1153/2016 vom 23. Januar 2018 E. 2.3.1). Ein aktuelles Rechtsschutzinteresse ist insbesondere dann zu verneinen, wenn die anzu- fechtende, hoheitliche Verfahrenshandlung im fraglichen Prozessstadium nicht mehr korrigiert werden kann. Dies ist beispielsweise der Fall, wenn sich die Beschwerde gegen die Anordnung und Durchführung einer schon abge- schlossenen Hausdurchsuchung richtet (GUIDON, Die Beschwerde gemäss Schweizerischer Strafprozessordnung, 2011, N. 244 mit Hinweis auf TPF 2005 187 E. 2).</w:t>
      </w:r>
    </w:p>
    <w:p>
      <w:r>
        <w:t>Nach bundesgerichtlichen Rechtsprechung kann auf das Erfordernis des ak- tuellen praktischen Interesses ausnahmsweise verzichtet werden, wenn sich die gerügte Rechtsverletzung jederzeit wiederholen könnte, eine rechtzeitige gerichtliche Überprüfung im Einzelfall kaum je möglich wäre, sich die aufge- worfenen Fragen jederzeit unter gleichen oder ähnlichen Umständen wieder</w:t>
      </w:r>
    </w:p>
    <w:p>
      <w:r>
        <w:t>- 6 -</w:t>
      </w:r>
    </w:p>
    <w:p>
      <w:r>
        <w:t>stellen könnten und an deren Beantwortung wegen der grundsätzlichen Be- deutung ein hinreichendes öffentliches Interesse besteht (BGE 131 II 670 E. 1.2; 125 I 394 E. 4b; 118 IV 67 E. 1d; 116 Ia 150 E. 2a; 116 II 729 E. 6).</w:t>
      </w:r>
    </w:p>
    <w:p>
      <w:r>
        <w:rPr>
          <w:b/>
        </w:rPr>
        <w:t>E. 1.3.2</w:t>
      </w:r>
    </w:p>
    <w:p>
      <w:r>
        <w:t>Die BKP griff auf den in Benutzung der B. Travel GmbH stehenden Server am 22. August 2023, 4. September 2023 und 2. Juli 2024 zu, lud die entspre- chenden Daten herunter und versiegelte die sichergestellten Daten. Die mit vorliegender Beschwerde angefochtenen Verfügungen wurden somit bereits abschliessend vollzogen und können nicht mehr korrigiert werden. Folglich fehlt es dem Beschwerdeführer an einem aktuellen und praktischen Inte- resse an der Aufhebung oder Änderung der Anordnung der Durchsuchung (vgl. BGE 118 IV 67 E. 1c; TPF 2004 34 E. 2.2). Entgegen der Ansicht des Beschwerdeführers drängt sich eine ausnahmsweise Überprüfung der Durchsuchungsbefehle vorliegend nicht auf. Insbesondere steht dem Be- schwerdeführer im weiteren Verfahren voller gerichtlicher Rechtsschutz zu, da die Frage, ob eine Durchsuchung rechtens war, in einem Entsiegelungs- verfahren oder Beschwerdeverfahren gegen eine allfällige Beschlagnahme geprüft werden kann (vgl. Urteile des Bundesgerichts 1B_360/2013 vom 24. März 2013 E. 2.2; 1B_310/2012 vom 22. August 2012 E. 2; Beschlüsse des Bundesstrafgerichts BB.2024.117 vom 23. September 2024; BB.2021.158 vom 1. September 2021 E. 1.5). Für separate Feststellungen besteht in der Regel ohnehin kein rechtliches Interesse (Beschlüsse des Bundesstrafgerichts BB.2024.117 vom 23. September 2024; BB.2018.89-91 vom 14. Juni 2018 E. 1.2.2). Entsprechend ist auf den Antrag des Beschwer- deführers nicht einzutreten.</w:t>
      </w:r>
    </w:p>
    <w:p>
      <w:r>
        <w:t>An der fehlenden Beschwerdelegitimation vermag auch der allfällige Um- stand nichts zu ändern, dass die beim ZMG sistierten Entsiegelungsverfah- ren mangels einer vom Beschwerdeführer erklärten Siegelung möglicher- weise nicht durchgeführt werden. Wie die Beschwerdegegnerin zutreffend ausführt, bleibt die Prüfung der Rechtmässigkeit der angefochtenen Durch- suchungsbefehle (und damit auch deren gesetzlichen Grundlage) und der Verwertbarkeit der gestützt darauf sichergestellten Aufzeichnung weiterhin im Rahmen eines allfälligen Beschwerdeverfahrens gegen deren Beschlag- nahme möglich. Überdies wird der Beschwerdeführer dies auch vor dem Sachrichter im Hauptverfahren geltend machen können.</w:t>
      </w:r>
    </w:p>
    <w:p>
      <w:r>
        <w:rPr>
          <w:b/>
        </w:rPr>
        <w:t>E. 1.3.3</w:t>
      </w:r>
    </w:p>
    <w:p>
      <w:r>
        <w:t>Nach dem Gesagten ist auf die Beschwerde nicht einzutreten.</w:t>
      </w:r>
    </w:p>
    <w:p>
      <w:r>
        <w:rPr>
          <w:b/>
        </w:rPr>
        <w:t>E. 1.4</w:t>
      </w:r>
    </w:p>
    <w:p>
      <w:r>
        <w:t>Die Beschwerdegegnerin hat dem Gericht mit der Beschwerdeantwort fol- gende Akten eingereicht: den Antrag der Beschwerdegegnerin vom 5. Sep- tember 2024 auf Anordnung der Untersuchungshaft; den Haftentscheid des</w:t>
      </w:r>
    </w:p>
    <w:p>
      <w:r>
        <w:t>- 7 -</w:t>
      </w:r>
    </w:p>
    <w:p>
      <w:r>
        <w:t>ZMG vom 6. September 2024; den Ermittlungsbericht der Luzerner Polizei vom 6. Juni 2024; die angefochtenen Durchsuchungsbefehle vom 21. August 2023, 4. September 2023 und 18. Juni 2024; die Nachvollziehbarkeitsbe- richte der BKP vom 24. August 2023, 6. September 2023 und 3. Juli 2024 sowie die Verfügungen des ZMG vom 12. September 2023 und 22. Juli 2024 (act. 4, elektronisch eingereichten Beilagen 1-6). Die übrigen in der Be- schwerdeantwort erwähnten Beilagen 7-20 offerierte die Beschwerdegegne- rin für den Fall, dass die Beschwerdekammer auf die vorliegende Be- schwerde eintreten und diese materiell behandeln sollte, ersuchte jedoch da- rum, diese (teilweise) geschwärzt einreichen zu dürfen (act. 4, S. 4 f.). Die mit der Beschwerdeantwort ins Recht gelegten Beilagen 1-6 reichten der Be- schwerdekammer zur Beurteilung der zwischen den Parteien umstrittenen Frage der Beschwerdelegitimation des Beschwerdeführers ohne Weiteres aus. Nachdem die vorliegende Beschwerde in materieller Hinsicht nicht zu behandeln ist (E. 1.3.3), erweist sich das Einholen der von der Beschwerde- gegnerin offerierten Beilagen 7-20 als nicht notwendig. Der entsprechende Antrag des Beschwerdeführers ist abzuweisen.</w:t>
      </w:r>
    </w:p>
    <w:p>
      <w:r>
        <w:rPr>
          <w:b/>
        </w:rPr>
        <w:t>E. 2</w:t>
      </w:r>
    </w:p>
    <w:p>
      <w:r>
        <w:t>Das Gesuch des Beschwerdeführers betreffend Gewährung der aufschie- benden Wirkung bzw. Anordnung von vorsorglichen Massnahmen erweist sich mit dem vorliegenden Entscheid in der Hauptsache als gegenstandslos (BP.2024.88).</w:t>
      </w:r>
    </w:p>
    <w:p>
      <w:r>
        <w:rPr>
          <w:b/>
        </w:rPr>
        <w:t>E. 3.1</w:t>
      </w:r>
    </w:p>
    <w:p>
      <w:r>
        <w:t>Der Beschwerdeführer ersucht um unentgeltliche Rechtspflege und – verbei- ständung (BP.2024.89).</w:t>
      </w:r>
    </w:p>
    <w:p>
      <w:r>
        <w:rPr>
          <w:b/>
        </w:rPr>
        <w:t>E. 3.2</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Die Bestimmung kommt als verfassungsrechtliche Minimalgarantie neben der StPO, insbesondere deren Art. 132, zur Anwendung (Urteil des Bundesgerichts 1B_357/2019 vom 6. November 2019 E. 5.2 m.w.H.). Ge- mäss bundesgerichtlicher Rechtsprechung sind Prozessbegehren als aus- sichtslos zu betrachten, wenn die Gewinnaussichten beträchtlich geringer erscheinen als die Verlustgefahren. Dagegen gilt ein Begehren als nicht aus- sichtslos, wenn sich Gewinnaussichten und Verlustgefahren ungefähr die Waage halten oder jene nur wenig geringer sind als diese (BGE 142 III 138 E. 5.1; 140 V 521 E. 9.1).</w:t>
      </w:r>
    </w:p>
    <w:p>
      <w:r>
        <w:t>- 8 -</w:t>
      </w:r>
    </w:p>
    <w:p>
      <w:r>
        <w:rPr>
          <w:b/>
        </w:rPr>
        <w:t>E. 3.3</w:t>
      </w:r>
    </w:p>
    <w:p>
      <w:r>
        <w:t>Aufgrund des oben Ausgeführten ist die vorliegende Beschwerde als aus- sichtslos zu bezeichnen, weshalb das Gesuch des Beschwerdeführers be- treffend unentgeltliche Rechtspflege und -verbeiständung bereits aus die- sem Grund abzuweisen ist.</w:t>
      </w:r>
    </w:p>
    <w:p>
      <w:r>
        <w:rPr>
          <w:b/>
        </w:rPr>
        <w:t>E. 3.4</w:t>
      </w:r>
    </w:p>
    <w:p>
      <w:r>
        <w:t>Die Kosten des Rechtsmittelverfahrens tragen die Parteien nach Massgabe ihres Obsiegens oder Unterliegens. Als unterliegend gilt auch die Partei auf deren Rechtsmittel nicht eingetreten wird (Art. 428 Abs. 1 StPO). Dem Aus- gang des Verfahrens entsprechend sind die Gerichtskosten dem unterlie- genden Beschwerdeführer aufzuerlegen (Art. 428 Abs. 1 StPO). Die Ge- richtsgebühr ist auf Fr. 800.-- festzusetzen (vgl. Art. 73 StBOG und Art. 5 und</w:t>
      </w:r>
    </w:p>
    <w:p>
      <w:r>
        <w:rPr>
          <w:b/>
        </w:rPr>
        <w:t>E. 8</w:t>
      </w:r>
    </w:p>
    <w:p>
      <w:r>
        <w:t>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