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BB.2024.105 vom 11. September 2024</w:t>
      </w:r>
    </w:p>
    <w:p>
      <w:r>
        <w:t>Bundesstrafgericht, 2024-09-11, FR</w:t>
      </w:r>
    </w:p>
    <w:p>
      <w:r>
        <w:rPr>
          <w:b/>
        </w:rPr>
        <w:t xml:space="preserve">Quelle: </w:t>
      </w:r>
      <w:r>
        <w:t>https://mcp.opencaselaw.ch/entscheid/bstger_BB.2024.105</w:t>
      </w:r>
    </w:p>
    <w:p>
      <w:r>
        <w:t>FR: TPF BB.2024.105 du 11 septembre 2024</w:t>
      </w:r>
    </w:p>
    <w:p>
      <w:r>
        <w:t>IT: TPF BB.2024.105 del 11 settembre 2024</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1.3</w:t>
      </w:r>
    </w:p>
    <w:p>
      <w:r>
        <w:t>Selon l’art. 135 al. 2 CPP,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w:t>
      </w:r>
    </w:p>
    <w:p>
      <w:r>
        <w:rPr>
          <w:b/>
        </w:rPr>
        <w:t>E. 1.4</w:t>
      </w:r>
    </w:p>
    <w:p>
      <w:r>
        <w:t>En l’espèce, en rendant la décision entreprise, le MPC n’a pas agi en qualité de juge de fond, mais d’autorité d’instruction. Il n’avait, à ce titre, aucune compétence pour procéder, comme il l’a fait, à un examen détaillé de la note d’honoraires produite, d’en exclure certaines opérations, de fixer un tarif horaire, pour, dans son dispositif, arrêter une indemnité de défenseur d’office. Tout au plus, a-t-il, selon l’art. 135 al. 2 in fine CPP, celle de verser des avances ou des acomptes audit défenseur d’office, sommes qui, par définition, ne sauraient être octroyées en se substituant au juge du fond.</w:t>
      </w:r>
    </w:p>
    <w:p>
      <w:r>
        <w:rPr>
          <w:b/>
        </w:rPr>
        <w:t>E. 1.5</w:t>
      </w:r>
    </w:p>
    <w:p>
      <w:r>
        <w:t>Dans ces conditions, vu l’incompétence fonctionnelle et matérielle du MPC pour se prononcer comme il l’a fait dans le cas d’espèce et dès lors que la nullité doit être constatée d'office, en tout temps et par l'ensemble des autorités étatiques, y compris en procédure de recours (ATF 145 IV 197 consid. 1.3.2 et arrêts cités; 137 III 217 consid. 2.4.3 et références citées; 136 II 415 consid. 1.2; 132 II 342 consid. 2.1), la décision attaquée est nulle.</w:t>
      </w:r>
    </w:p>
    <w:p>
      <w:r>
        <w:rPr>
          <w:b/>
        </w:rPr>
        <w:t>E. 1.6</w:t>
      </w:r>
    </w:p>
    <w:p>
      <w:r>
        <w:t>En tant que telle, la décision attaquée, inexistante dès son origine (ex tunc) n’a aucun effet juridique. Aussi, le recours, privé d’objet dès sa formation, doit-il être déclaré irrecevable et la nullité constatée dans le dispositif (v. ATF</w:t>
      </w:r>
    </w:p>
    <w:p>
      <w:r>
        <w:t>- 4 -</w:t>
      </w:r>
    </w:p>
    <w:p>
      <w:r>
        <w:t>132 II 342 consid. 2.3). Il appartiendra, le cas échéant, au recourant, de s’adresser à la direction de la procédure actuelle, afin d’obtenir une avance, en application de l’art. 135 al. 2 CPP.</w:t>
      </w:r>
    </w:p>
    <w:p>
      <w:r>
        <w:rPr>
          <w:b/>
        </w:rPr>
        <w:t>E. 2.1</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rPr>
          <w:b/>
        </w:rPr>
        <w:t>E. 2.2</w:t>
      </w:r>
    </w:p>
    <w:p>
      <w:r>
        <w:t>Tel est le cas du recourant, ce d’autant qu’il n’a pas conclu, comme il aurait pu le faire, à la constatation de la nullité (v. MOOR/POLTIER, Droit administratif II, 3e éd. 2011, p. 364 s.; GYGI, Bundesverwaltungsrechstpflege, 2e éd., 1983, p. 144).</w:t>
      </w:r>
    </w:p>
    <w:p>
      <w:r>
        <w:rPr>
          <w:b/>
        </w:rPr>
        <w:t>E. 2.3</w:t>
      </w:r>
    </w:p>
    <w:p>
      <w:r>
        <w:t>Cela étant, vu la particularité du cas d’espèce, il est exceptionnellement renoncé à la perception de frais.</w:t>
      </w:r>
    </w:p>
    <w:p>
      <w:r>
        <w:rPr>
          <w:b/>
        </w:rPr>
        <w:t>E. 3</w:t>
      </w:r>
    </w:p>
    <w:p>
      <w:r>
        <w:t>Il n’est pas non plus alloué d’indemnité.</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