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BB.2023.95A vom 7. Juni 2023</w:t>
      </w:r>
    </w:p>
    <w:p>
      <w:r>
        <w:t>Bundesstrafgericht, 2023-06-07, DE</w:t>
      </w:r>
    </w:p>
    <w:p>
      <w:r>
        <w:rPr>
          <w:b/>
        </w:rPr>
        <w:t xml:space="preserve">Quelle: </w:t>
      </w:r>
      <w:r>
        <w:t>https://mcp.opencaselaw.ch/entscheid/bstger_BB.2023.95A</w:t>
      </w:r>
    </w:p>
    <w:p>
      <w:r>
        <w:t>FR: TPF BB.2023.95A du 7 juin 2023</w:t>
      </w:r>
    </w:p>
    <w:p>
      <w:r>
        <w:t>IT: TPF BB.2023.95A del 7 giugno 2023</w:t>
      </w:r>
    </w:p>
    <w:p>
      <w:pPr>
        <w:pStyle w:val="Heading2"/>
      </w:pPr>
      <w:r>
        <w:t>Regeste</w:t>
      </w:r>
    </w:p>
    <w:p>
      <w:r>
        <w:t>Verfahrenshandlung der Bundesanwaltschaft (Art. 20 Abs. 1 lit. b i.V.m. Art. 393 Abs. 1 lit. a StPO); Sistierung der Beschwerdeverfahren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Mai 2023 zuständigkeitshalber der Strafkammer zu übermitteln sind;</w:t>
      </w:r>
    </w:p>
    <w:p>
      <w:r>
        <w:t>- die vorliegenden Beschwerdeverfahren voraussichtlich gegenstandslos wür- den, falls es im Rahmen des erstinstanzlichen Hauptverfahrens zur Rück- weisung der Anklage zwecks Ergänzung/Berichtigung oder aufgrund der An- träge der Beschwerdeführerinnen zur Änderung oder Erweiterung der An- klage kommen oder falls die Bundesanwaltschaft allenfalls eine Teileinstel- lungsverfügung im Sinne der eventualiter gestellten Beschwerdebegehren erlassen sollte (vgl. hierzu BGE 148 IV 124 E. 2.6.5 S. 131);</w:t>
      </w:r>
    </w:p>
    <w:p>
      <w:r>
        <w:t>- andernfalls die Beschwerdekammer im Rahmen der Fortsetzung der Be- schwerdeverfahren zu prüfen hätte, ob tatsächlich eine implizite Teileinstel- lung vorliegt;</w:t>
      </w:r>
    </w:p>
    <w:p>
      <w:r>
        <w:t>- der Ausgang der Beschwerdeverfahren wesentlich von den nächsten Schrit- ten der Strafkammer und der Bundesanwaltschaft bzw. vom Fortgang des erstinstanzlichen Hauptverfahrens abhängt, weshalb die Beschwerdeverfah- ren einstweilen zu sistieren sind (Art. 314 Abs. 1 lit. b i.V.m. Art. 379 StPO);</w:t>
      </w:r>
    </w:p>
    <w:p>
      <w:r>
        <w:t>- die Strafkammer als Verfahrensleiterin aufzufordern ist, die Beschwerde- kammer über die abschliessende Erledigung der auf die Erweiterung bzw. Änderung der Anklage gerichteten Anträge der Beschwerdeführerinnen bzw. über eine allfällige Rückweisung der Anklage zwecks Ergänzung/Berichti- gung zu informieren;</w:t>
      </w:r>
    </w:p>
    <w:p>
      <w:r>
        <w:t>- die Kosten dieses Beschlusses mit dem verfahrensabschliessenden Ent- scheid in der Sache zu verlegen sind;</w:t>
      </w:r>
    </w:p>
    <w:p>
      <w:r>
        <w:t>- 5 -</w:t>
      </w:r>
    </w:p>
    <w:p>
      <w:r>
        <w:t>und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