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BB.2023.95 vom 11. Oktober 2023</w:t>
      </w:r>
    </w:p>
    <w:p>
      <w:r>
        <w:t>Bundesstrafgericht, 2023-10-11, DE</w:t>
      </w:r>
    </w:p>
    <w:p>
      <w:r>
        <w:rPr>
          <w:b/>
        </w:rPr>
        <w:t xml:space="preserve">Quelle: </w:t>
      </w:r>
      <w:r>
        <w:t>https://mcp.opencaselaw.ch/entscheid/bstger_BB.2023.95</w:t>
      </w:r>
    </w:p>
    <w:p>
      <w:r>
        <w:t>FR: TPF BB.2023.95 du 11 octobre 2023</w:t>
      </w:r>
    </w:p>
    <w:p>
      <w:r>
        <w:t>IT: TPF BB.2023.95 del 11 ottobre 2023</w:t>
      </w:r>
    </w:p>
    <w:p>
      <w:pPr>
        <w:pStyle w:val="Heading2"/>
      </w:pPr>
      <w:r>
        <w:t>Regeste</w:t>
      </w:r>
    </w:p>
    <w:p>
      <w:r>
        <w:t>Verfahrenshandlung der Bundesanwaltschaft (Art. 20 Abs. 1 lit. b i.V.m. Art. 393 Abs. 1 lit. a StPO); Unentgeltliche Rechtspflege für die Privatklägerschaft im Beschwerdeverfahren (Art. 136 Abs. 1 StPO)</w:t>
      </w:r>
    </w:p>
    <w:p>
      <w:pPr>
        <w:pStyle w:val="Heading2"/>
      </w:pPr>
      <w:r>
        <w:t>Erwägungen</w:t>
      </w:r>
    </w:p>
    <w:p>
      <w:r>
        <w:rPr>
          <w:b/>
        </w:rPr>
        <w:t>E. 1</w:t>
      </w:r>
    </w:p>
    <w:p>
      <w:r>
        <w:t>Die Beschwerdekammer kann aus sachlichen Gründen Verfahren trennen oder vereinen (Art. 30 i.V.m. Art. 379 StPO; vgl. hierzu die Beschlüsse des Bundesstrafgerichts BB.2023.19 vom 16. Mai 2023 E. 1; BB.2021.99 vom 25. November 2021 E. 1.1; BB.2020.164 vom 9. Dezember 2020 E. 1). Die vorliegenden Beschwerden betreffen das gleiche Strafverfahren und weisen im Wesentlichen denselben Beschwerdegegenstand auf. Zudem haben die Vertreterinnen der Beschwerdeführerinnen ihre Beschwerden gemeinschaft- lich erstellt (vgl. BB.2023.95, BB.2023.97 und BB.2023.98, jeweils act. 1 Rz. 27). Sie sind bei dieser Sachlage mittels vorliegenden Beschlusses ge- meinsam zu beurteilen.</w:t>
      </w:r>
    </w:p>
    <w:p>
      <w:r>
        <w:rPr>
          <w:b/>
        </w:rPr>
        <w:t>E. 2.1</w:t>
      </w:r>
    </w:p>
    <w:p>
      <w:r>
        <w:t>Mit ihren Beschwerden bzw. mit deren Rechtsbegehren Ziff. 1 verlangten die Beschwerdeführerinnen in erster Linie, die Anklageschrift vom 17. April 2023 sei (um weitere Sachverhaltselemente) zu erweitern.</w:t>
      </w:r>
    </w:p>
    <w:p>
      <w:r>
        <w:rPr>
          <w:b/>
        </w:rPr>
        <w:t>E. 2.2</w:t>
      </w:r>
    </w:p>
    <w:p>
      <w:r>
        <w:t>Art. 324 Abs. 2 StPO hält fest, dass die Anklageerhebung nicht anfechtbar ist. Dieser Rechtsmittelausschluss bezieht sich nicht nur auf die Zuständig- keit, den hinreichenden Tatverdacht und die Anklageerhebung selbst, son- dern auch auf den Inhalt der Anklage gemäss Art. 325 StPO und das Vorlie- gen von Prozesshindernissen (HEIMGARTNER/NIGGLI, Basler Kommentar,</w:t>
      </w:r>
    </w:p>
    <w:p>
      <w:r>
        <w:rPr>
          <w:b/>
        </w:rPr>
        <w:t>E. 2.3</w:t>
      </w:r>
    </w:p>
    <w:p>
      <w:r>
        <w:t>Mit dem Eingang der Anklageschrift vom 17. April 2023 wurde das Verfahren bei der Strafkammer rechtshängig, womit die Befugnisse im Verfahren auf sie übergingen (Art. 328 Abs. 1 und 2 StPO). Die Verfahrensleitung hat so- dann gemäss Art. 329 Abs. 1 StPO die Anklage zu prüfen und gegebenen- falls gemäss Art. 329 Abs. 2 StPO das Verfahren zu sistieren. Dabei weist sie, falls erforderlich, die Anklage zur Ergänzung oder Berichtigung an die Bundesanwaltschaft zurück (vgl. Art. 329 Abs. 2 StPO). Zudem sieht Art. 333 StPO Möglichkeiten zur Änderung und Erweiterung der Anklage vor, wobei das Bundesgericht von der Möglichkeit auszugehen scheint, dass die Privat- klägerschaft in diesem Verfahrensstadium gegebenenfalls eine Änderung oder Ergänzung der Anklage beantragen kann (vgl. BGE 148 IV 124 E. 2.6.7). Die Verfahrensleitung oblag zum Zeitpunkt der Beschwerdeerhe- bung der Strafkammer. Demnach hatte diese gegebenenfalls die notwendi- gen verfahrensleitenden, auf eine Änderung oder Erweiterung der Anklage gerichteten Verfahrenshandlungen zu erlassen. Aus diesem Grund übermit- telte die Beschwerdekammer am 7. Juni 2023 die Eingaben der Beschwer- deführerinnen vom 28. April 2023 sowie die hierzu ergangenen Stellungnah- men der Bundesanwaltschaft vom 10. Mai 2023 zuständigkeitshalber an die Strafkammer.</w:t>
      </w:r>
    </w:p>
    <w:p>
      <w:r>
        <w:rPr>
          <w:b/>
        </w:rPr>
        <w:t>E. 2.4</w:t>
      </w:r>
    </w:p>
    <w:p>
      <w:r>
        <w:t>Mit der Weiterleitung des Antrags auf Erweiterung der Anklageschrift vom 17. April 2023 an die dafür zuständige, verfahrensleitende Strafkammer gab die Beschwerdekammer implizit auch zu verstehen, dass sie selber nicht auf dieses Rechtsbegehren eintreten würde. Insofern wurde das Verfahren hin- sichtlich der jeweiligen Rechtsbegehren Ziff. 1 der vorliegenden Beschwer- den bereits mit dem Beschluss der Beschwerdekammer vom 7. Juni 2023 endgültig erledigt.</w:t>
      </w:r>
    </w:p>
    <w:p>
      <w:r>
        <w:rPr>
          <w:b/>
        </w:rPr>
        <w:t>E. 3</w:t>
      </w:r>
    </w:p>
    <w:p>
      <w:r>
        <w:t>Hinsichtlich der jeweiligen Rechtsbegehren Ziff. 2 hielt die Beschwerdekam- mer bereits in ihrem Beschluss vom 7. Juni 2023 fest, die vorliegenden Be- schwerdeverfahren würden voraussichtlich gegenstandslos, falls es im Rah- men des erstinstanzlichen Hauptverfahrens zur Rückweisung der Anklage zwecks Ergänzung/Berichtigung oder aufgrund der Anträge der Beschwer- deführerinnen zur Änderung oder Erweiterung der Anklage kommen oder falls die Bundesanwaltschaft allenfalls eine Teileinstellungsverfügung im Sinne der eventualiter gestellten Beschwerdebegehren erlassen sollte (vgl. hierzu BGE 148 IV 124 E. 2.6.5 S. 131). Andernfalls hätte die Beschwerde- kammer im Rahmen der Fortsetzung der Beschwerdeverfahren zu prüfen gehabt, ob tatsächlich eine implizite Teileinstellung vorliegt. Nachdem die Bundesanwaltschaft ihre ursprüngliche Anklageschrift vom 17. April 2023 am</w:t>
      </w:r>
    </w:p>
    <w:p>
      <w:r>
        <w:rPr>
          <w:b/>
        </w:rPr>
        <w:t>E. 5</w:t>
      </w:r>
    </w:p>
    <w:p>
      <w:r>
        <w:t>Bei diesem Ausgang des Verfahrens und dem geringen Aufwand der Be- schwerdekammer in dieser Sache ist von der Erhebung einer Gerichtsge- bühr abzusehen (vgl. Art. 73 Abs. 2 StBOG und Art. 5 des Reglements des Bundesstrafgerichts vom 31. August 2010 über die Kosten. Gebühren und Entschädigungen in Bundesstrafverfahren [BStKR; SR 173.713.162]). Damit sind auch die an die Beschwerdekammer gerichteten Gesuche um unent- geltliche Prozessführung zufolge Gegenstandslosigkeit als erledigt abzu- schreiben.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