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BB.2023.87 vom 19. April 2023</w:t>
      </w:r>
    </w:p>
    <w:p>
      <w:r>
        <w:t>Bundesstrafgericht, 2023-04-19, DE</w:t>
      </w:r>
    </w:p>
    <w:p>
      <w:r>
        <w:rPr>
          <w:b/>
        </w:rPr>
        <w:t xml:space="preserve">Quelle: </w:t>
      </w:r>
      <w:r>
        <w:t>https://mcp.opencaselaw.ch/entscheid/bstger_BB.2023.87</w:t>
      </w:r>
    </w:p>
    <w:p>
      <w:r>
        <w:t>FR: TPF BB.2023.87 du 19 avril 2023</w:t>
      </w:r>
    </w:p>
    <w:p>
      <w:r>
        <w:t>IT: TPF BB.2023.87 del 19 aprile 2023</w:t>
      </w:r>
    </w:p>
    <w:p>
      <w:pPr>
        <w:pStyle w:val="Heading2"/>
      </w:pPr>
      <w:r>
        <w:t>Regeste</w:t>
      </w:r>
    </w:p>
    <w:p>
      <w:r>
        <w:t>Erstreckung von Fristen (Art. 92 StPO); Verfahrenshandlung der Bundesanwaltschaft (Art. 20 Abs. 1 lit. b i.V.m. Art. 393 Abs. 1 lit. a StPO); Aufschiebende Wirkung (Art. 387 StPO)</w:t>
      </w:r>
    </w:p>
    <w:p>
      <w:pPr>
        <w:pStyle w:val="Heading2"/>
      </w:pPr>
      <w:r>
        <w:t>Erwägungen</w:t>
      </w:r>
    </w:p>
    <w:p>
      <w:r>
        <w:rPr>
          <w:b/>
        </w:rPr>
        <w:t>E. 1</w:t>
      </w:r>
    </w:p>
    <w:p>
      <w:r>
        <w:t>Die Beschwerdeverfahren BB.2023.87 und BB.2023.88 betreffen die gleiche Sache und die gleichen Parteien. Es stellen sich ähnliche Sach- und Rechts- fragen. Die beiden Verfahren sind aus Gründen der Verfahrensökonomie zu vereinigen.</w:t>
      </w:r>
    </w:p>
    <w:p>
      <w:r>
        <w:rPr>
          <w:b/>
        </w:rPr>
        <w:t>E. 2.1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(Art. 382 Abs. 1 i.V.m. Art. 104 Abs. 1 StPO). Die Beschwerde gegen schriftlich oder mündlich eröffnete Ent- 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2.2</w:t>
      </w:r>
    </w:p>
    <w:p>
      <w:r>
        <w:t>Der Beschuldigte ist als Partei legitimiert, Beschwerde zu führen. Die Be- schwerde ist vorliegend sachlich auch nicht ausgeschlossen. Sie ist frist- und formgerecht erhoben worden. Auf die Beschwerde ist einzutreten.</w:t>
      </w:r>
    </w:p>
    <w:p>
      <w:r>
        <w:rPr>
          <w:b/>
        </w:rPr>
        <w:t>E. 3.1</w:t>
      </w:r>
    </w:p>
    <w:p>
      <w:r>
        <w:t>Es gilt der Grundsatz, dass die Staatsanwaltschaft im Vorverfahren die Ver- fahrensleitung innehat (Art. 16 Abs. 2 und Art. 61 lit. a StPO) und für die Führung des Strafverfahrens auf dieser Stufe generell verantwortlich ist. Sie hat diejenigen Verfahrenshandlungen vorzunehmen, die für eine gesetzes- konforme, sachgerechte und ordnungsgemässe Durchführung des Vorver- fahrens notwendig sind (Art. 62 Abs. 1 StPO) und der Durchsetzung des staatlichen Strafanspruchs dienen (BGE 142 IV 29 E. 3.4; 138 IV 142 E. 2.2.1; 147 IV 336 E. 2.3 Abgrenzung zum ZMG). Leitung des Vorverfah- rens bedeutet Verantwortung, Aufsicht, Kontrolle, Führung, Verfahrenspla- nung (KELLER, Zürcher Kommentar zur StPO, 3. Aufl. 2020, Art. 16 N. 5). Bei ihren Ermittlungen (im Vorverfahren) verfügt die Staatsanwaltschaft über eine gewisse Freiheit (BGE 141 IV 178 E. 3.2.2). Die Beschwerdeinstanz ist keine Art «Ersatz-Untersuchungsbehörde», welche gestaltend Einfluss auf die Untersuchung oder die Modalitäten der Untersuchungsführung nimmt (KELLER, a.a.O., Art. 393 N. 12a).</w:t>
      </w:r>
    </w:p>
    <w:p>
      <w:r>
        <w:t>- 5 -</w:t>
      </w:r>
    </w:p>
    <w:p>
      <w:r>
        <w:rPr>
          <w:b/>
        </w:rPr>
        <w:t>E. 3.2</w:t>
      </w:r>
    </w:p>
    <w:p>
      <w:r>
        <w:t>Es kann offen bleiben, ob die BA vorliegend das optimalste Vorgehen ge- wählt hat. Das Vorgehen der BA verletzt jedenfalls nicht die StPO. Was Er- gänzungsfragen (z.B. von Mitbeschuldigten oder an Zeugen) an parteiöffent- lichen Einvernahmen betrifft, schreibt Art. 147 Abs. 1 Satz 1 StPO nicht vor, in welchem Zeitpunkt das zusätzliche Recht, Fragen an den Erstbefragten zu stellen, zu gewährleisten ist («und einvernommenen Personen Fragen zu stellen»). Wann das Fragerecht ausgeübt werden darf, bestimmt die Verfah- rensleitung (BGE 139 IV 25 E. 5.4.1). Für die von ihm beantragte Fristerstre- ckung zur Einreichung der Ergänzungsfragen bringt der Beschuldigte auch keine stichhaltigen Gründe von einer Qualität vor (vgl. BRÜSCHWEI- LER/GRÜNIG, Zürcher Kommentar, Art. 92 N. 2 f.), dass sich der BA die Be- willigung einer solchen gebieterisch aufdrängte. Die Staatsanwaltschaft, vor- liegend die BA, ist verantwortlich, in der Untersuchung die Parteirechte ef- fektiv zu gewähren. Die Beschwerdekammer ist als Gericht keine Ersatz- oder Ober-Untersuchungsbehörde, die der Staatsanwaltschaft Weisungen für den Gang der Untersuchung, für die Modalitäten der Verfahrensleitung, erteilt. Eine Überschreitung des der BA zustehenden Ermessensspielraumes in der Verfahrensführung ist vorliegend nicht auszumachen, weshalb kein Beschwerdegrund erfüllt ist. Die Beschwerden sind daher abzuweisen.</w:t>
      </w:r>
    </w:p>
    <w:p>
      <w:r>
        <w:rPr>
          <w:b/>
        </w:rPr>
        <w:t>E. 4</w:t>
      </w:r>
    </w:p>
    <w:p>
      <w:r>
        <w:t>Sind die Beschwerden abzuweisen, so sind die Gesuche um vorsorgliche Massnahmen resp. um Erteilung der aufschiebenden Wirkung gegenstands- los geworden.</w:t>
      </w:r>
    </w:p>
    <w:p>
      <w:r>
        <w:rPr>
          <w:b/>
        </w:rPr>
        <w:t>E. 5</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