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BB.2023.67 vom 20. Dezember 2023</w:t>
      </w:r>
    </w:p>
    <w:p>
      <w:r>
        <w:t>Bundesstrafgericht, 2023-12-20, DE</w:t>
      </w:r>
    </w:p>
    <w:p>
      <w:r>
        <w:rPr>
          <w:b/>
        </w:rPr>
        <w:t xml:space="preserve">Quelle: </w:t>
      </w:r>
      <w:r>
        <w:t>https://mcp.opencaselaw.ch/entscheid/bstger_BB.2023.67</w:t>
      </w:r>
    </w:p>
    <w:p>
      <w:r>
        <w:t>FR: TPF BB.2023.67 du 20 décembre 2023</w:t>
      </w:r>
    </w:p>
    <w:p>
      <w:r>
        <w:t>IT: TPF BB.2023.67 del 20 dicembre 2023</w:t>
      </w:r>
    </w:p>
    <w:p>
      <w:pPr>
        <w:pStyle w:val="Heading2"/>
      </w:pPr>
      <w:r>
        <w:t>Regeste</w:t>
      </w:r>
    </w:p>
    <w:p>
      <w:r>
        <w:t>Entschädigung der amtlichen Verteidigung (Art. 135 Abs. 3 StPO)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März 2013 E. 1.1 m.w.H.; BB.2012.64 vom 30. Juli 2012 E. 1.1);</w:t>
      </w:r>
    </w:p>
    <w:p>
      <w:r>
        <w:t>- angesichts des strittigen, die gesetzliche Grenze von Fr. 5'000.-- überstei- genden Betrags die vorliegende Beschwerde durch die Beschwerdekammer</w:t>
      </w:r>
    </w:p>
    <w:p>
      <w:r>
        <w:t>- 3 -</w:t>
      </w:r>
    </w:p>
    <w:p>
      <w:r>
        <w:t>in Dreierbesetzung zu behandeln ist (Art. 38 StBOG; Art. 395 lit. b StPO e contrario);</w:t>
      </w:r>
    </w:p>
    <w:p>
      <w:r>
        <w:t>- zur Beschwerdeerhebung auf Seiten der amtlichen Verteidigung ein rechtlich geschütztes Interesse an der Aufhebung oder Änderung der angefochtenen Verfügung vorausgesetzt wird (Art. 382 Abs. 1 StPO); das zur Beschwerde- führung berechtigende Rechtsschutzinteresse grundsätzlich ein aktuelles und praktisches sein muss (BGE 118 IV 67 E. 1c; TPF 2017 93 E. 2.2; 2004 40 E. 2.1 S. 43);</w:t>
      </w:r>
    </w:p>
    <w:p>
      <w:r>
        <w:t>- das Beschwerdeverfahren abzuschreiben ist, wenn die im Zeitpunkt der Be- schwerdeeinreichung gegebene Beschwer im Verlauf des Beschwerdever- fahrens dahinfällt und die Beschwerde gegenstandslos wird (GUIDON, Die Beschwerde gemäss Schweizerischer Strafprozessordnung, 2011, N. 554 m.w.H. in Fn. 1959);</w:t>
      </w:r>
    </w:p>
    <w:p>
      <w:r>
        <w:t>- die Einstellungsverfügung vom 6. März 2023 infolge Gutheissung der von den Privatklägerinnen erhobenen Beschwerde mit Beschluss BB.2023.68- 76 vom 7. Dezember 2023 insgesamt aufgehoben und zur neuen Entschei- dung an die Beschwerdegegnerin zurückgewiesen wurde (act. 11), diese da- her auch über die Entschädigung der amtlichen Verteidigung neu zu befin- den haben wird, demzufolge das aktuelle Interesse des Beschwerdeführers am vorliegenden Beschwerdeverfahren dahingefallen ist;</w:t>
      </w:r>
    </w:p>
    <w:p>
      <w:r>
        <w:t>- das vorliegende Beschwerdeverfahren somit abzuschreiben ist;</w:t>
      </w:r>
    </w:p>
    <w:p>
      <w:r>
        <w:t>- bei Eintritt der Gegenstandslosigkeit eines Beschwerdeverfahrens diejenige Partei kosten- und entschädigungspflichtig wird, welche die Gegenstandslo- sigkeit des Rechtsmittels verursachte (TPF 2011 31 m.w.H.; vgl. u.a. Be- schlüsse des Bundesstrafgerichts BB.2019.49 vom 3. Mai 2019; BB.2017.218 vom 15. Februar 2018; BB.2016.366 vom 6. Dezember 2016; BB.2016.284 vom 7. September 2016; BB.2016.274 vom 26. Juli 2016);</w:t>
      </w:r>
    </w:p>
    <w:p>
      <w:r>
        <w:t>- die Gegenstandslosigkeit des vorliegenden Beschwerdeverfahrens von kei- ner der vorliegenden Parteien direkt verursacht wurde; die Gegenstandslo- sigkeit des vorliegenden Verfahrens vielmehr auf die Gutheissung einer in einem anderen Verfahren und von einer hier nicht beteiligten Partei erho- bene Beschwerde gegen dieselbe Einstellungsverfügung zurückzuführen ist;</w:t>
      </w:r>
    </w:p>
    <w:p>
      <w:r>
        <w:t>- es sich unter diesen Umständen rechtfertigt, für den vorliegenden Beschluss weder eine Gerichtsgebühr zu erheben noch dem Beschwerdeführer eine Parteientschädigung zuzusprechen.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