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BB.2023.65 vom 28. März 2023</w:t>
      </w:r>
    </w:p>
    <w:p>
      <w:r>
        <w:t>Bundesstrafgericht, 2023-03-28, DE</w:t>
      </w:r>
    </w:p>
    <w:p>
      <w:r>
        <w:rPr>
          <w:b/>
        </w:rPr>
        <w:t xml:space="preserve">Quelle: </w:t>
      </w:r>
      <w:r>
        <w:t>https://mcp.opencaselaw.ch/entscheid/bstger_BB.2023.65</w:t>
      </w:r>
    </w:p>
    <w:p>
      <w:r>
        <w:t>FR: TPF BB.2023.65 du 28 mars 2023</w:t>
      </w:r>
    </w:p>
    <w:p>
      <w:r>
        <w:t>IT: TPF BB.2023.65 del 28 marzo 2023</w:t>
      </w:r>
    </w:p>
    <w:p>
      <w:pPr>
        <w:pStyle w:val="Heading2"/>
      </w:pPr>
      <w:r>
        <w:t>Regeste</w:t>
      </w:r>
    </w:p>
    <w:p>
      <w:r>
        <w:t>Hausdurchsuchung (Art. 244 f. StPO)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August 2012 E. 2);</w:t>
      </w:r>
    </w:p>
    <w:p>
      <w:r>
        <w:t>- dementsprechend auf die Beschwerde nicht einzutreten ist;</w:t>
      </w:r>
    </w:p>
    <w:p>
      <w:r>
        <w:t>- bei diesem Ausgang des Verfahrens die Beschwerdeführerin die Gerichts- kosten zu tragen hat (Art. 428 Abs. 1 StPO);</w:t>
      </w:r>
    </w:p>
    <w:p>
      <w:r>
        <w:t>- die Gerichtsgebühr auf Fr. 2’000.-- festzusetzen ist (vgl. Art. 73 StBOG i.V.m. Art. 5 und Art. 8 Abs. 1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