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BB.2023.64 vom 28. März 2023</w:t>
      </w:r>
    </w:p>
    <w:p>
      <w:r>
        <w:t>Bundesstrafgericht, 2023-03-28, DE</w:t>
      </w:r>
    </w:p>
    <w:p>
      <w:r>
        <w:rPr>
          <w:b/>
        </w:rPr>
        <w:t xml:space="preserve">Quelle: </w:t>
      </w:r>
      <w:r>
        <w:t>https://mcp.opencaselaw.ch/entscheid/bstger_BB.2023.64</w:t>
      </w:r>
    </w:p>
    <w:p>
      <w:r>
        <w:t>FR: TPF BB.2023.64 du 28 mars 2023</w:t>
      </w:r>
    </w:p>
    <w:p>
      <w:r>
        <w:t>IT: TPF BB.2023.64 del 28 marzo 2023</w:t>
      </w:r>
    </w:p>
    <w:p>
      <w:pPr>
        <w:pStyle w:val="Heading2"/>
      </w:pPr>
      <w:r>
        <w:t>Regeste</w:t>
      </w:r>
    </w:p>
    <w:p>
      <w:r>
        <w:t>Hausdurchsuchung (Art. 244 f. StPO)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August 2012 E. 2);</w:t>
      </w:r>
    </w:p>
    <w:p>
      <w:r>
        <w:t>- etwa die Frage, ob die Durchsuchung rechtens war, in einem Entsiegelungs- verfahren oder Beschwerdeverfahren gegen eine allfällige Beschlagnahme geprüft werden kann;</w:t>
      </w:r>
    </w:p>
    <w:p>
      <w:r>
        <w:t>- die im Anschluss an eine Hausdurchsuchung erfolgte Sicherstellung von Ge- genständen bloss provisorischen Charakter hat; diese der späteren Durch- suchung sowie allfälligen Beschlagnahme durch die Strafverfolgungsbehör- den dient und keine mittels Beschwerde anfechtbare Massnahme darstellt;</w:t>
      </w:r>
    </w:p>
    <w:p>
      <w:r>
        <w:t>- dementsprechend auf die Beschwerde nicht einzutreten ist;</w:t>
      </w:r>
    </w:p>
    <w:p>
      <w:r>
        <w:t>- 4 -</w:t>
      </w:r>
    </w:p>
    <w:p>
      <w:r>
        <w:t>- bei diesem Ausgang des Verfahrens der Beschwerdeführer die Gerichtskos- ten zu tragen hat (Art. 428 Abs. 1 StPO);</w:t>
      </w:r>
    </w:p>
    <w:p>
      <w:r>
        <w:t>- die Gerichtsgebühr auf Fr. 2’000.-- festzusetzen ist (vgl. Art. 73 StBOG i.V.m. Art. 5 und Art. 8 Abs. 1 BStKR).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