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BB.2023.61 vom 13. April 2023</w:t>
      </w:r>
    </w:p>
    <w:p>
      <w:r>
        <w:t>Bundesstrafgericht, 2023-04-13, DE</w:t>
      </w:r>
    </w:p>
    <w:p>
      <w:r>
        <w:rPr>
          <w:b/>
        </w:rPr>
        <w:t xml:space="preserve">Quelle: </w:t>
      </w:r>
      <w:r>
        <w:t>https://mcp.opencaselaw.ch/entscheid/bstger_BB.2023.61</w:t>
      </w:r>
    </w:p>
    <w:p>
      <w:r>
        <w:t>FR: TPF BB.2023.61 du 13 avril 2023</w:t>
      </w:r>
    </w:p>
    <w:p>
      <w:r>
        <w:t>IT: TPF BB.2023.61 del 13 aprile 2023</w:t>
      </w:r>
    </w:p>
    <w:p>
      <w:pPr>
        <w:pStyle w:val="Heading2"/>
      </w:pPr>
      <w:r>
        <w:t>Regeste</w:t>
      </w:r>
    </w:p>
    <w:p>
      <w:r>
        <w:t>Verfahrenshandlung der Strafkammer (Art. 20 Abs. 1 lit. a. i.V.m. Art. 393 Abs. 1 lit. b StPO)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Mit Eingang des Schreibens vom 6. April 2023 ist das Verfahren durch Rück- zug der Beschwerde erledigt und entsprechend vom Geschäftsverzeichnis abzuschreiben.</w:t>
      </w:r>
    </w:p>
    <w:p>
      <w:r>
        <w:rPr>
          <w:b/>
        </w:rPr>
        <w:t>E. 2</w:t>
      </w:r>
    </w:p>
    <w:p>
      <w:r>
        <w:t>In Anwendung von Art. 423 Abs. 1 StPO sind vorliegend vom verbeistände- ten Beschwerdeführer keine Gerichtskosten zu erheben.</w:t>
      </w:r>
    </w:p>
    <w:p>
      <w:r>
        <w:t>- 5 -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