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BB.2023.190 vom 23. November 2023</w:t>
      </w:r>
    </w:p>
    <w:p>
      <w:r>
        <w:t>Bundesstrafgericht, 2023-11-23, DE</w:t>
      </w:r>
    </w:p>
    <w:p>
      <w:r>
        <w:rPr>
          <w:b/>
        </w:rPr>
        <w:t xml:space="preserve">Quelle: </w:t>
      </w:r>
      <w:r>
        <w:t>https://mcp.opencaselaw.ch/entscheid/bstger_BB.2023.190</w:t>
      </w:r>
    </w:p>
    <w:p>
      <w:r>
        <w:t>FR: TPF BB.2023.190 du 23 novembre 2023</w:t>
      </w:r>
    </w:p>
    <w:p>
      <w:r>
        <w:t>IT: TPF BB.2023.190 del 23 novembre 2023</w:t>
      </w:r>
    </w:p>
    <w:p>
      <w:pPr>
        <w:pStyle w:val="Heading2"/>
      </w:pPr>
      <w:r>
        <w:t>Regeste</w:t>
      </w:r>
    </w:p>
    <w:p>
      <w:r>
        <w:t>Nichtanhandnahmeverfügung (Art. 310 i.V.m. Art. 322 Abs. 2 StPO); unentgeltliche Rechtspflege für die Privatklägerschaft im Beschwerdeverfahren (Art. 136 Abs. 1 StPO)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November 2023 zuständigkeitshalber weiterzuleiten ist;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