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BB.2023.184 vom 10. November 2023</w:t>
      </w:r>
    </w:p>
    <w:p>
      <w:r>
        <w:t>Bundesstrafgericht, 2023-11-10, DE</w:t>
      </w:r>
    </w:p>
    <w:p>
      <w:r>
        <w:rPr>
          <w:b/>
        </w:rPr>
        <w:t xml:space="preserve">Quelle: </w:t>
      </w:r>
      <w:r>
        <w:t>https://mcp.opencaselaw.ch/entscheid/bstger_BB.2023.184</w:t>
      </w:r>
    </w:p>
    <w:p>
      <w:r>
        <w:t>FR: TPF BB.2023.184 du 10 novembre 2023</w:t>
      </w:r>
    </w:p>
    <w:p>
      <w:r>
        <w:t>IT: TPF BB.2023.184 del 10 novembre 2023</w:t>
      </w:r>
    </w:p>
    <w:p>
      <w:pPr>
        <w:pStyle w:val="Heading2"/>
      </w:pPr>
      <w:r>
        <w:t>Regeste</w:t>
      </w:r>
    </w:p>
    <w:p>
      <w:r>
        <w:t>Nichtanhandnahmeverfügung (Art. 310 i.V.m. Art. 322 Abs. 2 StPO)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Tagen schriftlich und begründet bei der Beschwerdeinstanz einzureichen ist (Art. 396 Abs. 1 StPO);</w:t>
      </w:r>
    </w:p>
    <w:p>
      <w:r>
        <w:t>- wo die Strafprozessordnung verlangt, dass das Rechtsmittel begründet wird, die Person oder die Behörde, die das Rechtsmittel ergreift, genau anzuge- ben hat, welche Punkte des Entscheides sie anficht, welche Gründe einen anderen Entscheid nahe legen und welche Beweismittel sie anruft (Art. 385 Abs. 1 StPO);</w:t>
      </w:r>
    </w:p>
    <w:p>
      <w:r>
        <w:t>- 3 -</w:t>
      </w:r>
    </w:p>
    <w:p>
      <w:r>
        <w:t>- die vorliegende Beschwerde diese Anforderungen offenkundig nicht erfüllt;</w:t>
      </w:r>
    </w:p>
    <w:p>
      <w:r>
        <w:t>- gemäss Art. 385 Abs. 2 StPO die Rechtsmittelinstanz, wenn die Eingabe diese Anforderungen nicht erfüllt, sie zur Verbesserung innerhalb einer kur- zen Nachfrist zurückweist; wenn die Eingabe auch nach Ablauf der Nachfrist den Anforderungen nicht genügt, die Rechtsmittelinstanz auf das Rechtsmit- tel nicht eintritt;</w:t>
      </w:r>
    </w:p>
    <w:p>
      <w:r>
        <w:t>- Art. 385 Abs. 2 StPO nicht anwendbar ist für Eingaben, welche die einrei- chende Person, der die Anforderungen bekannt sind, bewusst mangelhaft abfasst; es ihr ansonsten möglich wäre, die Bestimmung von Art. 89 Abs. 1 StPO zu umgehen, wonach gesetzliche Fristen, zu denen die Rechtsmittel- fristen gehören, nicht erstreckt werden können (vgl. zuletzt u.a. Urteil des Bundesgerichts 6B_182/2020 vom 6. Januar 2021 E. 2.5; vgl. auch BÄHLER, Basler Kommentar, 3. Aufl. 2023, Art. 385 StPO N. 7);</w:t>
      </w:r>
    </w:p>
    <w:p>
      <w:r>
        <w:t>- die Beschwerdegegnerin die Beschwerdeführer in der Rechtsmittelbeleh- rung der Nichtanhandnahmeverfügung darauf aufmerksam machte, dass die Beschwerde innert 10 Tagen schriftlich und begründet bei der Beschwerde- kammer einzureichen ist (act. 1.1);</w:t>
      </w:r>
    </w:p>
    <w:p>
      <w:r>
        <w:t>- die Beschwerdeführer die Beschwerde dennoch ohne Begründung abfass- ten;</w:t>
      </w:r>
    </w:p>
    <w:p>
      <w:r>
        <w:t>- angesichts der bewusst mangelhaften Abfassung der Beschwerde keine Nachfrist zur Verbesserung zu gewähren ist;</w:t>
      </w:r>
    </w:p>
    <w:p>
      <w:r>
        <w:t>- sich die Beschwerde gegen die Nichtanhandnahmeverfügung nach dem Ge- sagten als offensichtlich unzulässig erweist, weshalb auf sie ohne Schriften- wechsel nicht einzutreten ist (Art. 390 Abs. 2 StPO e contrario);</w:t>
      </w:r>
    </w:p>
    <w:p>
      <w:r>
        <w:t>- bei diesem Ausgang des Verfahrens den Beschwerdeführern auch keine Nachfrist zur eigenhändigen Unterzeichnung der Beschwerde (vgl. Art. 110 Abs. 1 StPO) gewährt werden muss;</w:t>
      </w:r>
    </w:p>
    <w:p>
      <w:r>
        <w:t>- mangels nennenswerten Aufwands ausnahmsweise keine Gerichtsgebühr zu erheben ist (vgl. Art. 73 Abs. 2 StBOG sowie Art. 5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