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BB.2023.178 vom 2. Dezember 2025</w:t>
      </w:r>
    </w:p>
    <w:p>
      <w:r>
        <w:t>Bundesstrafgericht, 2025-12-02, DE</w:t>
      </w:r>
    </w:p>
    <w:p>
      <w:r>
        <w:rPr>
          <w:b/>
        </w:rPr>
        <w:t xml:space="preserve">Quelle: </w:t>
      </w:r>
      <w:r>
        <w:t>https://mcp.opencaselaw.ch/entscheid/bstger_BB.2023.178</w:t>
      </w:r>
    </w:p>
    <w:p>
      <w:r>
        <w:t>FR: TPF BB.2023.178 du 2 décembre 2025</w:t>
      </w:r>
    </w:p>
    <w:p>
      <w:r>
        <w:t>IT: TPF BB.2023.178 del 2 dicembre 2025</w:t>
      </w:r>
    </w:p>
    <w:p>
      <w:pPr>
        <w:pStyle w:val="Heading2"/>
      </w:pPr>
      <w:r>
        <w:t>Regeste</w:t>
      </w:r>
    </w:p>
    <w:p>
      <w:r>
        <w:t>Einziehung bei Einstellung des Verfahrens (Art. 320 Abs. 2 i.V.m. Art. 322 Abs. 2 StPO); Entschädigung von Dritten (Art. 434 i.V.m. Art. 433 Abs. 2 StPO)</w:t>
      </w:r>
    </w:p>
    <w:p>
      <w:pPr>
        <w:pStyle w:val="Heading2"/>
      </w:pPr>
      <w:r>
        <w:t>Erwägungen</w:t>
      </w:r>
    </w:p>
    <w:p>
      <w:r>
        <w:rPr>
          <w:b/>
        </w:rPr>
        <w:t>E. 1.1</w:t>
      </w:r>
    </w:p>
    <w:p>
      <w:r>
        <w:t>Einstellungsverfügungen der Bundesanwaltschaft können bei der Beschwer- dekammer des Bundesstrafgerichts mit Beschwerde angefochten werden (Art. 322 Abs. 2 StPO i.V.m. Art. 37 Abs. 1 StBOG; vgl. auch Art. 393 Abs. 1 lit. a StPO). Ergeht im Rahmen der Einstellungsverfügung ein Entscheid auf Einziehung bzw. Zuweisung, so kann dagegen gemäss dem seit 1. Januar 2024 in Kraft getretenen Abs. 3 von Art. 322 StPO Einsprache erhoben wer- den. Angefochten werden die Dispositiv-Ziffern 5 und 8 der Einstellungs- verfügung der Bundesanwaltschaft vom 2. Oktober 2023. Die Beschwerde- führerin wendet sich mithin unter anderem gegen die Zuweisung der Ver- mögenswerte der Beziehung 2, Konto 3, lautend auf P., bei der Bank M., aus der Bankverbindung Nr. 4 bei der Bank N. an die FIFA. Da die Einstellungs- verfügung jedoch vor Inkrafttreten des neuen Abs. 3 von Art. 322 StPO erlassen worden ist, richtet sich das Rechtsmittel nach bisherigem Recht (vgl. Art. 453 Abs. 1 StPO). Demzufolge kommt vorliegend Art. 322 StPO in der bis zum 31. Dezember 2023 geltenden Fassung zur Anwendung und das Rechtsmittel gegen die Einstellungsverfügung vom 2. Oktober 2023 ist die Beschwerde nach Art. 393 ff. StPO.</w:t>
      </w:r>
    </w:p>
    <w:p>
      <w:r>
        <w:t>Zur Beschwerde berechtigt ist jede Partei oder jeder andere Verfahrensbe- teiligte mit einem rechtlich geschützten Interesse an der Aufhebung oder Änderung des angefochtenen Entscheides (Art. 382 Abs. 1 i.V.m. Art. 105 Abs. 2 StPO). Die Beschwerde gegen schriftlich oder mündlich eröffnete Entscheide ist innert zehn Tagen schriftlich und begründet einzureichen (Art. 396 Abs. 1 StPO; vgl. auch Art. 322 Abs. 2 StPO). Mit ihr können Rechtsverletzungen gerügt werden, einschliesslich Überschreitung und Missbrauch des Ermessens, Rechtsverweigerung und Rechtsverzögerung (Art. 393 Abs. 2 lit. a StPO), wie auch die unvollständige oder unrichtige Feststellung des Sachverhalts (Art. 393 Abs. 2 lit. b StPO) und die Unange- messenheit (Art. 393 Abs. 2 lit. c StPO).</w:t>
      </w:r>
    </w:p>
    <w:p>
      <w:r>
        <w:rPr>
          <w:b/>
        </w:rPr>
        <w:t>E. 1.2</w:t>
      </w:r>
    </w:p>
    <w:p>
      <w:r>
        <w:t>Dier Beschwerde richtet sich gegen die Zuweisung der Vermögenswerte aus der Beziehung 2, Konto 3, lautend auf P., bei der Bank M., aus der Bank- verbindung Nr. 4 bei der Bank N. lautend auf die A. Ltd an die FIFA. Der Beschwerdeführerin kommt damit ein rechtlich geschütztes Interesse an der Aufhebung der Zuweisung zu (Art. 105 Abs. 2 StPO), weshalb sie zur vorlie- genden Beschwerde legitimiert ist. Die Beschwerde ist fristgerecht einge- reicht worden; auf die Beschwerde ist daher einzutreten.</w:t>
      </w:r>
    </w:p>
    <w:p>
      <w:r>
        <w:t>- 8 -</w:t>
      </w:r>
    </w:p>
    <w:p>
      <w:r>
        <w:rPr>
          <w:b/>
        </w:rPr>
        <w:t>E. 2.1</w:t>
      </w:r>
    </w:p>
    <w:p>
      <w:r>
        <w:t>Gemäss Art. 320 Abs. 2 StPO hebt die Staatsanwaltschaft in der Einstel- lungsverfügung bestehende Zwangsmassnahmen auf. Sie kann die Einzie- hung von Gegenständen und Vermögenswerten anordnen. Ist der Grund für die Beschlagnahme weggefallen, so hebt die Staatsanwaltschaft oder das Gericht die Beschlagnahme auf und händigt die Gegenstände oder Vermö- genswerte der berechtigten Person aus (Art. 267 Abs. 1 StPO). Ist unbestrit- ten, dass ein Gegenstand oder Vermögenswert einer bestimmten Person durch die Straftat unmittelbar entzogen worden ist, so gibt die Strafbehörde ihn der berechtigten Person vor Abschluss des Verfahrens zurück (Art. 267 Abs. 2 StPO). Ist die Beschlagnahme eines Gegenstands oder Vermögens- werts nicht vorher aufgehoben worden, so ist über seine Rückgabe an die berechtigte Person, seine Verwendung zur Kostendeckung oder über seine Einziehung im Endentscheid zu befinden (Art. 267 Abs. 3 StPO). Erheben mehrere Personen Anspruch auf Gegenstände oder Vermögenswerte, deren Beschlagnahme aufzuheben ist, so kann das Gericht darüber entscheiden (Art. 267 Abs. 4 StPO). Die Strafbehörde kann die Gegenstände oder Ver- mögenswerte einer Person zusprechen und den übrigen Ansprecherinnen und Ansprechern Frist zur Anhebung von Zivilklagen setzen (Art. 267 Abs. 5 StPO).</w:t>
      </w:r>
    </w:p>
    <w:p>
      <w:r>
        <w:rPr>
          <w:b/>
        </w:rPr>
        <w:t>E. 2.2</w:t>
      </w:r>
    </w:p>
    <w:p>
      <w:r>
        <w:t>Art. 267 Abs. 4 und 5 StPO bestimmen die Vorgehensweise, wenn mehrere Personen Anspruch auf einen Gegenstand oder Vermögenswert erheben. Art. 267 Abs. 4 StPO räumt dem Gericht die Befugnis ein, darüber zu ent- scheiden. Eine solch endgültige Zuweisung kommt jedoch nur bei klarer Rechtslage in Betracht (JOSITSCH/SCHMID, Praxiskommentar, 4. Aufl. 2023, N. 7 zu Art. 267 StPO). Fehlt eine klare Rechtslage oder ist der Sachverhalt illiquid hat das Gericht nach Art. 267 Abs. 5 StPO vorzugehen, d.h. es hat den Gegenstand oder Vermögenswert einer Person zuzuweisen und den an- deren Ansprecherinnen und Ansprechern Frist zur Erhebung einer Zivilklage anzusetzen (BBl 2006 1085, 1247; Urteil des Bundesgerichts 1B_270/2012 vom 7. August 2012 E. 2.2; HEIMGARTNER, Zürcher Kommentar, 3. Aufl. 2020, N. 6 zu Art. 267 StPO; DERS., Strafprozessuale Beschlagnahme, 2011, S. 326 f.). Erst nach unbenutztem Ablauf der Frist darf es den Gegen- stand oder Vermögenswert der im Entscheid genannten Personen aushän- digen. Anders als das Gericht kann die Staatsanwaltschaft bei mehreren An- sprecherinnen und Ansprechern ausschliesslich nach Art. 267 Abs. 5 StPO vorgehen (MOREILLON/PAREIN-REYMOND, Petit Commentaire, 3. Aufl. 2025, N. 19 zu Art. 267 StPO mit Hinweisen). Dabei sind Gegenstände und Ver- mögenswerte grundsätzlich der berechtigten Person zurückzugeben (vgl. Art. 267 Abs 2 und 3 StPO sowie Art. 70 Abs. 1 in fine und Art. 73 StGB). Wer berechtigte Person ist bzw. sein kann, bestimmt sich nach den Regeln</w:t>
      </w:r>
    </w:p>
    <w:p>
      <w:r>
        <w:t>- 9 -</w:t>
      </w:r>
    </w:p>
    <w:p>
      <w:r>
        <w:t>des Zivilrechts. In erster Linie kommt daher die Zuteilung an den Besitzer in Betracht, der gemäss Art. 930 ZGB als Eigentümer vermutet wird. Liegen jedoch klare Anhaltspunkte dafür vor, dass kein dingliches Recht besteht, muss die Zuteilung zugunsten der am meisten berechtigten Person erfolgen. Im Verfahren nach Art. 267 Abs. 5 StPO ist lediglich eine Prima-facie-Prü- fung der zivilrechtlichen Verhältnisse vorzunehmen. Mit der vorläufigen Zuweisung werden nämlich nur die Rollen der Parteien in einem allfälligen späteren Zivilprozess festgelegt, ohne der Entscheidung des zuständigen Gerichts vorzugreifen (MOREILLON/PAREIN-REYMOND, a.a.O.). Die Zuwei- sung der Frist dient dem Zweck, die Strafbehörde vor einer Zuweisung des Gegenstands an eine nicht berechtigte Person zu schützen (Urteile des Bundesgerichts 1B_573/2021 vom 18. Januar 2022 E. 3.1; 6B_992/2019 vom 10. November 2020 E. 2.4; 6B_54/2019 vom 3. Mai 2019 E. 5.1; 1B_298/2014 vom 21. November 2014 E. 3.2; 1B_270/2012 vom 7. Au- gust 2012 E. 4.3; BBl 2006 1085, 1246 f.). Vor dem Hintergrund des Grund- satzes, wonach sich strafbares Verhalten nicht lohnen darf (BGE 141 IV 115 E. 4.1; 137 IV 305 E. 3.1; 129 IV 107 E. 3.2), sind Vermögenswerte, die durch eine Straftat erlangt worden sind oder dazu bestimmt waren, eine Straftat zu veranlassen oder zu belohnen, einzuziehen, sofern sie nicht dem Verletzten zur Wiederherstellung des rechtmässigen Zustandes zugewiesen werden können (vgl. Art. 70 Abs. 1 StGB, Art. 267 StPO).</w:t>
      </w:r>
    </w:p>
    <w:p>
      <w:r>
        <w:rPr>
          <w:b/>
        </w:rPr>
        <w:t>E. 2.3</w:t>
      </w:r>
    </w:p>
    <w:p>
      <w:r>
        <w:t>Vorliegend machen sowohl die Beschwerdeführerin wie auch die FIFA Ansprüche an den beschlagnahmten Vermögenswerten aus der Bezie- hung 2, Konto 3, lautend auf P., bei der Bank M., aus der Bankverbindung Nr. 4 bei der Bank N. lautend auf die Beschwerdeführerin geltend (vgl. supra lit. K und L). Trotz mehrerer Anspruchsberechtigter wies die Bundesanwalt- schaft in ihrer Einstellungsverfügung die beschlagnahmten Vermögenswerte aus der eben genannten Bankbeziehung definitiv der FIFA zu, was jedoch – wie oben dargelegt – nicht den gesetzlichen Vorgaben entspricht. Ziff. 5 des Dispositivs der Einstellungsverfügung ist daher aufzuheben und die Sache der Bundesanwaltschaft zu einem neuen Entscheid gemäss den gesetzli- chen Vorgaben, d.h. Zuweisung an die eine und Fristansetzung an die andere Partei (Art. 267 Abs. 5 StPO) oder Einziehung, allenfalls mit Verwen- dung zu Gunsten Geschädigter (Art. 70 Abs. 1 bzw. Art. 73 StGB), zurück- zuweisen. Die Beschlagnahme des Kontos der Beziehung 2, Konto 3, lautend auf P., bei der Bank M., aus der Bankverbindung Nr. 4 bei der Bank N. lautend auf die Beschwerdeführerin bleibt aufrecht erhalten.</w:t>
      </w:r>
    </w:p>
    <w:p>
      <w:r>
        <w:t>- 10 -</w:t>
      </w:r>
    </w:p>
    <w:p>
      <w:r>
        <w:rPr>
          <w:b/>
        </w:rPr>
        <w:t>E. 2.4</w:t>
      </w:r>
    </w:p>
    <w:p>
      <w:r>
        <w:t>Vor diesem Hintergrund sind die weiteren, von der Beschwerdeführerin im Zusammenhang mit der erfolgten Zuweisung erhobenen Rügen nicht zu prüfen.</w:t>
      </w:r>
    </w:p>
    <w:p>
      <w:r>
        <w:rPr>
          <w:b/>
        </w:rPr>
        <w:t>E. 3</w:t>
      </w:r>
    </w:p>
    <w:p>
      <w:r>
        <w:t>Soweit die Beschwerdeführerin die Aufhebung von Dispositiv-Ziffer 8 der Einstellungsverfügung und die Zusprechung einer Entschädigung von Fr. CHF 72'240.-- beantragt, gilt Folgendes: Die Bundesanwaltschaft hielt in ihrer Einstellungsverfügung fest, dass die Beschwerdeführerin als Inhaberin der beschlagnahmten Bankverbindung zwar als Drittbeschwerte gemäss Art. 105 Abs. 1 lit. f StPO gelte und daher grundsätzlich berechtigt sei, eine Entschädigung der Kosten zur Wahrung ihrer Rechte im Verfahren gemäss Art. 434 StPO zu erlangen. Durch die Einstellungsverfügung würden jedoch sämtliche Vermögenswerte auf der Bankverbindung der Beschwerdeführerin der Geschädigten zurückerstattet, sodass die Beschwerdeführerin unter- liege. In analoger Anwendung von Art. 433 Abs. 1 lit. a StPO sowie Art. 436 StPO sei daher der Antrag der Beschwerdeführerin auf eine Entschädigung abzulehnen (act. 1.2, S. 61 f., Rz. 226). Nachdem mit dem vorliegenden Be- schluss die von der Bundesanwaltschaft angeordnete Zuweisung der Vermögenswerte lautend auf die Beschwerdeführerin aufgehoben und die Sache zur Neuentscheidung an die Bundesanwaltschaft zurückgewiesen wird, wird die Bundesanwaltschaft gegebenenfalls auch über die Kosten- und Entschädigungsfolgen neu zu entscheiden haben.</w:t>
      </w:r>
    </w:p>
    <w:p>
      <w:r>
        <w:rPr>
          <w:b/>
        </w:rPr>
        <w:t>E. 4</w:t>
      </w:r>
    </w:p>
    <w:p>
      <w:r>
        <w:t>Zusammenfassend obsiegt die Beschwerdeführerin mit ihrer Beschwerde somit insofern, als sie den Antrag auf Aufhebung von Dispositiv-Ziffer 5 der Einstellungsverfügung stellt. Mit Bezug auf die anderen Anträge unterliegt sie. Die Beschwerde ist damit teilweise gutzuheissen, Dispositiv-Ziffer 5 der angefochtenen Verfügung ist aufzuheben und der Bundesanwaltschaft im Sinne der Erwägungen zu neuem Entscheid zurückzuweisen.</w:t>
      </w:r>
    </w:p>
    <w:p>
      <w:r>
        <w:rPr>
          <w:b/>
        </w:rPr>
        <w:t>E. 5.1</w:t>
      </w:r>
    </w:p>
    <w:p>
      <w:r>
        <w:t>Die Kosten- und Entschädigungsfolgen im Beschwerdeverfahren tragen die Parteien nach Massgabe ihres Obsiegens und Unterliegens (Urteil des Bundesgerichts 6B_265/2016 vom 1. Juni 2016 E. 2.3; Beschluss des Bundesstrafgerichts BB.2017.42 vom 5. April 2017 E. 2.1 und E. 2.3; vgl. BGE 142 IV 163 E. 3.2.2; je m.w.H.).</w:t>
      </w:r>
    </w:p>
    <w:p>
      <w:r>
        <w:rPr>
          <w:b/>
        </w:rPr>
        <w:t>E. 5.2</w:t>
      </w:r>
    </w:p>
    <w:p>
      <w:r>
        <w:t>Die Beschwerdeführerin unterliegt mit rund der Hälfte ihrer Anträge, sodass es sich rechtfertigt, ihr eine reduzierte Gerichtsgebühr von Fr. 1'000.-- auf- zuerlegen (Art. 73 StBOG und Art. 5 und 8 Abs. 1 BStKR).</w:t>
      </w:r>
    </w:p>
    <w:p>
      <w:r>
        <w:t>- 11 -</w:t>
      </w:r>
    </w:p>
    <w:p>
      <w:r>
        <w:rPr>
          <w:b/>
        </w:rPr>
        <w:t>E. 5.3</w:t>
      </w:r>
    </w:p>
    <w:p>
      <w:r>
        <w:t>Entsprechend ihrem teilweisen Obsiegen ist der Beschwerdeführerin eine Entschädigung zu entrichten. Diese ist – da die Vertreterin der Beschwerde- führerin dem Gericht keine Kostennote eingereicht hat – nach Ermessen auf Fr. 3‘000.-- (inkl. MwSt.) festzusetzen (Art. 10 i.V.m. Art. 12 Abs. 2 BStKR). Die Entschädigung ist grundsätzlich hälftig von der Bundesanwaltschaft und der FIFA zu entrichten (s. jedoch unten E. 5.4).</w:t>
      </w:r>
    </w:p>
    <w:p>
      <w:r>
        <w:rPr>
          <w:b/>
        </w:rPr>
        <w:t>E. 5.4</w:t>
      </w:r>
    </w:p>
    <w:p>
      <w:r>
        <w:t>Die FIFA obsiegt im Umfang des hälftigen Unterliegens der Beschwerdefüh- rerin. Ihr ist entsprechend ebenfalls eine Entschädigung zu entrichten. In ih- rer Beschwerdeantwort macht die Rechtsvertretung der FIFA geltend, sie habe im vorliegenden Beschwerdeverfahren Aufwendungen von Fr. 9‘000.-- gehabt (act. 10, S. 4). Da sie die Honorarforderung weder im Einzelnen be- gründet noch Belege beilegt, kann ihre Honorarforderung nicht überprüft werden. Der FIFA ist daher ermessensweise eine Entschädigung von Fr. 1‘500.-- (inkl. MwSt.) für ihr teilweises Obsiegen zu entrichten. Grund- sätzlich wäre die Beschwerdeführerin verpflichtet, der FIFA eine Parteient- schädigung von Fr. 1‘500.-- zu bezahlen. Die Entschädigungsansprüche der Beschwerdeführerin gegenüber der FIFA (vgl. supra E. 5.3) und der FIFA gegenüber der Beschwerdeführerin sind zu verrechnen (Art. 120 OR). Ange- sichts des gleichhohen Betrags sind im Ergebnis zwischen der Beschwerde- führerin und der FIFA keine Parteientschädigungen zuzusprechen.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