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BB.2023.163 vom 23. Oktober 2023</w:t>
      </w:r>
    </w:p>
    <w:p>
      <w:r>
        <w:t>Bundesstrafgericht, 2023-10-23, DE</w:t>
      </w:r>
    </w:p>
    <w:p>
      <w:r>
        <w:rPr>
          <w:b/>
        </w:rPr>
        <w:t xml:space="preserve">Quelle: </w:t>
      </w:r>
      <w:r>
        <w:t>https://mcp.opencaselaw.ch/entscheid/bstger_BB.2023.163</w:t>
      </w:r>
    </w:p>
    <w:p>
      <w:r>
        <w:t>FR: TPF BB.2023.163 du 23 octobre 2023</w:t>
      </w:r>
    </w:p>
    <w:p>
      <w:r>
        <w:t>IT: TPF BB.2023.163 del 23 ottobre 2023</w:t>
      </w:r>
    </w:p>
    <w:p>
      <w:pPr>
        <w:pStyle w:val="Heading2"/>
      </w:pPr>
      <w:r>
        <w:t>Regeste</w:t>
      </w:r>
    </w:p>
    <w:p>
      <w:r>
        <w:t>Nichtanhandnahmeverfügung (Art. 310 i.V.m. Art. 322 Abs. 2 StPO); unentgeltliche Rechtspflege für die Privatklägerschaft im Beschwerdeverfahren (Art. 136 Abs. 1 StPO)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Februar 2023 als zugestellt gilt, unabhängig vom Verlängerungsauftrag, und gemäss Art. 90 Abs. 1 StPO die Frist zur Erhebung der Beschwerde am 10. März 2023 endete;</w:t>
      </w:r>
    </w:p>
    <w:p>
      <w:r>
        <w:t>- die nach Ablauf der Rechtsmittelfrist erfolgte zweite Zustellung der Nichtan- handnahmeverfügung mittels A-Post Plus am 3. Juli 2023 nach dem oben Gesagten keinen neuen Fristenlauf zu begründen vermag;</w:t>
      </w:r>
    </w:p>
    <w:p>
      <w:r>
        <w:t>- damit die Beschwerde vom 22. September 2023 klarerweise verspätet ist, weshalb darauf nicht einzutreten ist;</w:t>
      </w:r>
    </w:p>
    <w:p>
      <w:r>
        <w:t>- die Beschwerde im Übrigen auch materiell abzuweisen gewesen wäre, da den Eingaben des Beschwerdeführers kein konkreter Sachverhalt entnom- men werden kann, der einen hinreichenden Tatverdacht begründen könnte;</w:t>
      </w:r>
    </w:p>
    <w:p>
      <w:r>
        <w:t>- insbesondere ungünstige richterliche Entscheide in aller Regel keinen Straf- tatbestand erfüllen;</w:t>
      </w:r>
    </w:p>
    <w:p>
      <w:r>
        <w:t>- die Beschwerdegegnerin zudem zu Recht darauf hingewiesen hat, dass sie nicht Aufsichtsbehörde über das Bundesgericht ist;</w:t>
      </w:r>
    </w:p>
    <w:p>
      <w:r>
        <w:t>- der Beschwerdeführer schliesslich um Gewährung der unentgeltlichen Rechtspflege ersucht hat (act. 1; BP.2023.75, act. 1);</w:t>
      </w:r>
    </w:p>
    <w:p>
      <w:r>
        <w:t>- dieses Gesuch infolge der Aussichtslosigkeit der Beschwerde abzuweisen ist (Art. 136 Abs. 1 lit. b StPO);</w:t>
      </w:r>
    </w:p>
    <w:p>
      <w:r>
        <w:t>- bei diesem Ausgang des Verfahrens der Beschwerdeführer die Kosten zu tragen hat (vgl. Art. 428 Abs. 1 StPO);</w:t>
      </w:r>
    </w:p>
    <w:p>
      <w:r>
        <w:t>- die Gerichtsgebühr auf das gesetzliche und reglementarische Minimum von Fr. 200.-- festzusetzen ist (vgl. Art. 73 StBOG und Art. 5 und 8 Abs. 1 BStKR).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