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BB.2023.162 vom 19. Oktober 2023</w:t>
      </w:r>
    </w:p>
    <w:p>
      <w:r>
        <w:t>Bundesstrafgericht, 2023-10-19, DE</w:t>
      </w:r>
    </w:p>
    <w:p>
      <w:r>
        <w:rPr>
          <w:b/>
        </w:rPr>
        <w:t xml:space="preserve">Quelle: </w:t>
      </w:r>
      <w:r>
        <w:t>https://mcp.opencaselaw.ch/entscheid/bstger_BB.2023.162</w:t>
      </w:r>
    </w:p>
    <w:p>
      <w:r>
        <w:t>FR: TPF BB.2023.162 du 19 octobre 2023</w:t>
      </w:r>
    </w:p>
    <w:p>
      <w:r>
        <w:t>IT: TPF BB.2023.162 del 19 ottobre 2023</w:t>
      </w:r>
    </w:p>
    <w:p>
      <w:pPr>
        <w:pStyle w:val="Heading2"/>
      </w:pPr>
      <w:r>
        <w:t>Regeste</w:t>
      </w:r>
    </w:p>
    <w:p>
      <w:r>
        <w:t>Ausstand des gesamten Berufungsgerichts (Art. 59 Abs. 1 lit. d i.V.m. Art. 56 StPO); unentgeltliche Rechtspflege (Art. 29 Abs. 3 BV)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September 2023 an die Beschwerdekammer als offensichtlich überflüs- sig erweist bzw. die Einleitung eines Ausstandsverfahrens über die Be- schwerdekammer klarerweise nicht gerechtfertigt war;</w:t>
      </w:r>
    </w:p>
    <w:p>
      <w:r>
        <w:t>- in diesem Sinne das Ausstandsgesuch des Gesuchstellers vom 21. Septem- ber 2023 nach dem oben Ausgeführten als offensichtlich aussichtslos zu be- urteilen ist, weshalb das Gesuch um unentgeltliche Rechtspflege unbesehen der finanziellen Verhältnisse des Gesuchstellers abzuweisen ist;</w:t>
      </w:r>
    </w:p>
    <w:p>
      <w:r>
        <w:t>- bei diesem Ausgang des Verfahrens die Kosten vom Gesuchsteller zu tragen sind (Art. 59 Abs. 4 StPO);</w:t>
      </w:r>
    </w:p>
    <w:p>
      <w:r>
        <w:t>- die Kosten des vorliegenden Verfahrens auf Fr. 1‘000.-- festzusetzen sind (Art. 73 StBOG und Art. 5 und 8 Abs. 2 des Reglements des Bundesstrafge- richts vom 31. August 2010 über die Kosten, Gebühren und Entschädigun- gen in Bundesstrafverfahren, BStKR; SR 173.713.162).</w:t>
      </w:r>
    </w:p>
    <w:p>
      <w:r>
        <w:t>- 8 -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