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BB.2023.153 vom 15. Mai 2024</w:t>
      </w:r>
    </w:p>
    <w:p>
      <w:r>
        <w:t>Bundesstrafgericht, 2024-05-15, DE</w:t>
      </w:r>
    </w:p>
    <w:p>
      <w:r>
        <w:rPr>
          <w:b/>
        </w:rPr>
        <w:t xml:space="preserve">Quelle: </w:t>
      </w:r>
      <w:r>
        <w:t>https://mcp.opencaselaw.ch/entscheid/bstger_BB.2023.153</w:t>
      </w:r>
    </w:p>
    <w:p>
      <w:r>
        <w:t>FR: TPF BB.2023.153 du 15 mai 2024</w:t>
      </w:r>
    </w:p>
    <w:p>
      <w:r>
        <w:t>IT: TPF BB.2023.153 del 15 maggio 2024</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StPO i.V.m. Art. 37 Abs. 1 StBOG). Zur Beschwerde berechtigt ist jede Partei oder jeder andere Verfahrens- beteiligte mit einem rechtlich geschützten Interesse an der Aufhebung oder</w:t>
      </w:r>
    </w:p>
    <w:p>
      <w:r>
        <w:t>- 5 -</w:t>
      </w:r>
    </w:p>
    <w:p>
      <w:r>
        <w:t>Änderung des angefochtenen Entscheides (Art. 382 Abs. 1 i.V.m. Art. 104 Abs. 1 StPO). Die Beschwerde gegen schriftlich oder mündlich eröffnete Entscheide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Der Beschwerdeführer bringt vor, er sei als Geschädigter Adressat der Nicht- anhandnahmeverfügung der BA gewesen. Er habe in seiner Strafanzeige vom 14. Februar 2023 die Bestrafung der Verantwortlichen der FINMA beantragt und sich dadurch als Privatkläger konstituiert (act. 1 S. 2).</w:t>
      </w:r>
    </w:p>
    <w:p>
      <w:r>
        <w:rPr>
          <w:b/>
        </w:rPr>
        <w:t>E. 1.3</w:t>
      </w:r>
    </w:p>
    <w:p>
      <w:r>
        <w:t>Zur Beschwerde legitimiert sind die Parteien, sofern sie ein rechtlich ge- schütztes Interesse an der Aufhebung oder Änderung der angefochtenen Verfügung haben (Art. 382 Abs. 1 StPO). Partei ist namentlich die Privat- klägerschaft (Art. 104 Abs. 1 lit. b StPO). Als Privatklägerschaft gilt die ge- schädigte Person, die gegenüber einer Strafverfolgungsbehörde spätestens bis zum Abschluss des Vorverfahrens ausdrücklich erklärt, sich am Strafver- fahren als Straf- oder Zivilklägerin zu beteiligen (Art. 118 Abs. 1 und 3 StPO). Die geschädigte Person ist dabei nach dem Wortlaut des Gesetzes gegen die Einstellung des Verfahrens grundsätzlich nur insoweit zur Beschwerde legitimiert, als sie sich vor Abschluss des Vorverfahrens im Sinne der Art. 118 f. StPO als Privatklägerschaft konstituiert hat (BGE 141 IV 380 E. 2.2 S. 383; zum Ganzen BGE 148 IV 170 E. 3.2). Geschädigte, die sich nicht als Privatklägerschaft konstituiert haben, können eine Nichtanhandnahme- oder Einstellungsverfügung mangels Parteistel- lung grundsätzlich nicht anfechten. Diese Einschränkung gilt dann nicht, wenn die geschädigte Person noch keine Gelegenheit hatte, sich zur Frage der Konstituierung zu äussern, so etwa wenn eine Nichtanhandnahme oder Einstellung ergeht, ohne dass die Strafverfolgungsbehörde die geschädigte Person zuvor auf ihr Konstituierungsrecht aufmerksam gemacht hätte (BGE 141 IV 380 E. 2.2; Urteil des Bundesgerichts 6B_33/2019 vom 22. Mai 2019 E. 3). Wer (zudem) selbst Strafantrag stellen kann und von diesem Recht Gebrauch gemacht hat, hat sich im Strafpunkt gültig als Strafkläger konstituiert. Dies gilt unabhängig davon, ob es sich bei den angezeigten Straftaten um Antrags- oder Offizialdelikte handelt, da der Antrag auf Straf- verfolgung auch bei Offizialdelikten einer Erklärung im Sinne von Art. 118 Abs. 1 StPO gleichkommt (Urteil des Bundesgerichts 6B_1198/2014 vom</w:t>
      </w:r>
    </w:p>
    <w:p>
      <w:r>
        <w:rPr>
          <w:b/>
        </w:rPr>
        <w:t>E. 1.4</w:t>
      </w:r>
    </w:p>
    <w:p>
      <w:r>
        <w:t>Der Beschwerdeführer könnte in den in der Strafanzeige geschilderten Sach- verhaltsteilen, die ihn als «Ex-Head of Legal &amp; Compliance der Bank B. AG» betreffen, durch allfällige bei der FINMA begangene strafbare Handlungen geschädigt sein. Dies betrifft unter A den Sachverhalt 3 (Enforcementver- fahren), wobei der Beschwerdeführer nur diesen Punkt der Nichtanhandnah- meverfügung anficht. Er verlangt in seiner Strafanzeige die Bestrafung der Verantwortlichen. Die BA hat diese Strafanzeige ohne Weiterungen nicht an die Hand genommen. Insoweit hat sich der Beschwerdeführer gültig als Privatkläger konstituiert, weshalb er in diesem Rahmen zur vorliegenden Beschwerde legitimiert ist. Auf die frist- und formgerecht eingereichte Beschwerde ist einzutreten.</w:t>
      </w:r>
    </w:p>
    <w:p>
      <w:r>
        <w:t>2. Der Beschwerdeführer macht sinngemäss eine Verletzung seines rechtli- chen Gehörs geltend. Sein Privatgutachten äussere sich zur Relevanz der Anfechtbarkeit der Verfügung der FINMA, ohne dass sich die BA damit aus- einandersetze (act. 1 S. 6 Ziff. 16). Nach bundesgerichtlicher Rechtsprechung kommt einem privaten Rechts- gutachten einer Verfahrenspartei kein eigentlicher Beweiswert zu. Es han- delt sich nicht um ein Beweismittel, sondern einzig um die Untermauerung der Rechtsauffassung der entsprechenden Partei (BGE 138 II 217 E. 2.4). Das Gericht (oder wie vorliegend eine andere Behörde) kann es in rechtlicher Hinsicht wie die Berufungsschrift selbst zur Urteilsfindung beiziehen (BGE 127 III 1 E. 2; 123 III 47 E. 1; 94 II 5 E. 1; 126 I 95 E. 4b). Die BA hatte sich nicht mit allen Parteistandpunkten einlässlich auseinanderzusetzen und jedes einzelne Vorbringen zu widerlegen. Sie hatte die Überlegungen zu nennen von denen sie sich hat leiten lassen und auf die sich ihr Entscheid stützt (BGE 143 III 65 E. 5.2). Die BA hat ausführlich begründet, warum sie die Strafanzeige nicht an die Hand genommen hat und sie ist damit ihrer Begründungspflicht nachgekommen.</w:t>
      </w:r>
    </w:p>
    <w:p>
      <w:r>
        <w:rPr>
          <w:b/>
        </w:rPr>
        <w:t>E. 3</w:t>
      </w:r>
    </w:p>
    <w:p>
      <w:r>
        <w:t>Die BA begründet die Nichtanhandnahme betreffend Urkundendelikte damit, dass entgegen der Strafanzeige den Verfügungen der FINMA gemäss Rechtsprechung kein Urkundencharakter zukomme. Es mangle der Sach- verhaltsdarstellung an der für den Urkundencharakter erforderlichen Beweis- bestimmung und -eignung. Damit fehle es vorliegend von Vornherein an einem Tatobjekt i.S.v. Art. 317 StGB bzw. Art. 251 Ziff. 1 StGB (act. 1.1 S. 10 f. Ziff. 3.1.1; S. 12 Ziff. 3.3.1): Es bestünden zunächst keine allgemein- gültigen objektiven Garantien, welche gegenüber Dritten die Wahrheit des in einer Verfügung aufgeführten Sachverhalts garantierten. Denn auch wenn es selbstredend wünschenswert wäre, dass die in Verwaltungsverfahren</w:t>
      </w:r>
    </w:p>
    <w:p>
      <w:r>
        <w:t>- 7 -</w:t>
      </w:r>
    </w:p>
    <w:p>
      <w:r>
        <w:t>ergehenden Verfügungen stets auf einem (soweit rechtserheblich) vollstän- digen und richtigen Sachverhalt beruhten, entspreche dies letztlich nicht den tatsächlichen Gegebenheiten. Zudem würde sich in Bezug auf Sachverhalts- fragen unweigerlich die Frage nach dem Sinn und Zweck des Rechtsmittel- wegs stellen. Darüber hinaus hätte eine abweichende Sachverhaltsfeststel- lung durch die Rechtsmittelinstanz, zu der auch die Beweiswürdigung zähle, nach der Rechtsauffassung des Anzeigeerstatters jeweils regelmässig eine Strafbarkeit der im vorinstanzlichen (Verwaltungs-)Verfahren verfügenden Beamten bzw. Behördenmitglieder wegen fahrlässiger Urkundenfälschung im Amt (Art. 317 StGB) zur Folge, zumal die Verneinung einer pflichtwidrigen Unvorsichtigkeit (vgl. Art. 12 Abs. 3 StGB) unter diesen Vorzeichen nur schwer vorstellbar erscheine. Dies könne jedoch nicht Sinn und Zweck des Urkundenstrafrechts sein. Sodann verkenne der Anzeigeerstatter die Relativität des Urkundencharak- ters von Schriftstücken. Die konkreten Anordnungen bzw. Feststellungen der Behörde seien dem Dispositiv der Verfügung zu entnehmen. Dabei handle es sich um das eigentliche Kernstück einer jeden Verfügung. Die Begrün- dung diene mithin nur, aber immerhin, der Nachvollziehbarkeit behördlicher Entscheide. Der formellen und materiellen Rechtskraft einer Verfügung sei jedoch nur das Dispositiv zugänglich, nicht auch die Begründung. Ergänzend hielt die BA fest, dass sowohl das Bundesverwaltungsgericht (Urteil B-7186/2018 vom 29. Juli 2021) als auch das Bundesgericht (Urteil 2C_747/2021 vom 30. März 2023) die Verfügung der FINMA vom 9. Novem- ber 2018 im Wesentlichen und insbesondere in Bezug auf das gegen den Anzeigeerstatter verhängte Berufsverbot bestätigt hatten, so dass der Vor- wurf des Anzeigeerstatters, die unbekannte Täterschaft sei (eventual-)vor- sätzlich von einem falschen Sachverhalt ausgegangen, von vornherein als haltlos erscheine (act. 1.2 S. 12).</w:t>
      </w:r>
    </w:p>
    <w:p>
      <w:r>
        <w:rPr>
          <w:b/>
        </w:rPr>
        <w:t>E. 4</w:t>
      </w:r>
    </w:p>
    <w:p>
      <w:r>
        <w:t>Die Staatsanwaltschaft eröffnet eine Untersuchung, wenn sich aus den In- formationen und Berichten der Polizei, aus der Strafanzeige oder aus ihren eigenen Feststellungen ein hinreichender Tatverdacht ergibt (Art. 309 Abs. 1 lit. a StPO), d.h. erhebliche Gründe, die für das Vorliegen eines Tatver- dachts sprechen (Urteil des Bundesgerichts 6B_335/2020 vom 7. Septem- ber 2020 E. 3.3.4).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w:t>
      </w:r>
    </w:p>
    <w:p>
      <w:r>
        <w:t>- 8 -</w:t>
      </w:r>
    </w:p>
    <w:p>
      <w:r>
        <w:t>(Urteile des Bundesgerichts 6B_553/2019 vom 6. November 2019 E. 3.1; 6B_833/2019 vom 10. September 2019 E. 2.4.2).</w:t>
      </w:r>
    </w:p>
    <w:p>
      <w:r>
        <w:rPr>
          <w:b/>
        </w:rPr>
        <w:t>E. 5</w:t>
      </w:r>
    </w:p>
    <w:p>
      <w:r>
        <w:t>Die BA durfte vorliegend die Strafanzeige nicht an die Hand nehmen: Die FINMA verhängte mit ihrer Verfügung vom 9. November 2018 ein Berufs- verbot gegen den Beschwerdeführer, was das Bundesverwaltungsgericht am 29. Juli 2021 und das Bundesgericht am 30. März 2023 als rechtmässig beurteilten und bestätigten (vgl. obige lit. C und E). Die Gerichte haben die Sachverhaltsrügen des Beschwerdeführers im Einzelnen geprüft und ver- worfen. Dem Beschwerdeführer gelang es damit in den Rechtsmittelverfah- ren nicht, die Gerichte davon zu überzeugen, dass die Verfügung der FINMA auf einem falschen oder in relevanter Weise unrichtigen Sachverhalt beruhe oder die Behörde ihn rechtlich falsch gewürdigt habe. Sein Berufsverbot ist rechtskräftig. Der Beschwerdeführer schildert in seiner Strafanzeige keine strafbaren Handlungen, mit denen auf obige Entscheide (Verfügung und Urteile) eingewirkt worden wäre. Wurde die Rechtmässigkeit der FINMA- Verfügung in gerichtlichen Verfahren bestätigt, so kann er deren Inhalt nicht (nochmals) in Frage stellen, indem er in einer Strafanzeige behauptet, der Sachverhalt der Verfügung sei unvollständig, falsch oder irreführend und somit darin in strafbarer Weise aufgeführt worden. Dies widerspräche dem Grundsatz der Einheit der Rechtsordnung (Beschluss des Bundesstraf- gerichts BG.2020.15 vom 26. Juni 2020 E. 4.5.2). Eine Strafanzeige ist keine Fortsetzung des verwaltungsrechtlichen Rechtsweges und gibt nicht Ge- legenheit, rechtskräftige Entscheide von weiteren Instanzen beurteilen zu lassen. So wiederholt der Beschwerdeführer z.B. vorliegend (act. 1 S. 7 f.), dass ein Berufsverbot eine strafrechtliche Anklage darstelle, was das Bundesgericht indes verworfen hatte (E. 4 S. 4–6). Die BA hat demnach am 25. August 2023 zurecht eine Nichtanhandnahmeverfügung erlassen. Die dagegen erhobene Beschwerde ist abzuweisen.</w:t>
      </w:r>
    </w:p>
    <w:p>
      <w:r>
        <w:rPr>
          <w:b/>
        </w:rPr>
        <w:t>E. 6</w:t>
      </w:r>
    </w:p>
    <w:p>
      <w:r>
        <w:t>Bei diesem Ausgang des Verfahrens unterliegt der Beschwerdeführer und hat damit die Gerichtsgebühr zu tragen (vgl. Art. 428 Abs. 1 StPO). Die Gerichtsgebühr ist auf Fr. 2'000.-- festzusetzen (vgl. Art. 73 Abs. 2 StBOG i.V.m. Art. 5 und 8 Abs. 1 BStKR), unter Anrechnung des vom Beschwerde- führer geleisteten Kostenvorschusses in gleicher Höhe (vgl. act. 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