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BB.2023.14 vom 14. Februar 2023</w:t>
      </w:r>
    </w:p>
    <w:p>
      <w:r>
        <w:t>Bundesstrafgericht, 2023-02-14, DE</w:t>
      </w:r>
    </w:p>
    <w:p>
      <w:r>
        <w:rPr>
          <w:b/>
        </w:rPr>
        <w:t xml:space="preserve">Quelle: </w:t>
      </w:r>
      <w:r>
        <w:t>https://mcp.opencaselaw.ch/entscheid/bstger_BB.2023.14</w:t>
      </w:r>
    </w:p>
    <w:p>
      <w:r>
        <w:t>FR: TPF BB.2023.14 du 14 février 2023</w:t>
      </w:r>
    </w:p>
    <w:p>
      <w:r>
        <w:t>IT: TPF BB.2023.14 del 14 febbraio 2023</w:t>
      </w:r>
    </w:p>
    <w:p>
      <w:pPr>
        <w:pStyle w:val="Heading2"/>
      </w:pPr>
      <w:r>
        <w:t>Regeste</w:t>
      </w:r>
    </w:p>
    <w:p>
      <w:r>
        <w:t>Ausstand der Bundesanwaltschaft (Art. 59 Abs. 1 lit. b i.V.m. Art. 56 StPO)</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Dies be- deutet, dass die Partei in der Regel innerhalb von sechs bis sieben Tagen zu handeln hat, sobald sie vom Ausstandsgrund Kenntnis hat. Sie verwirkt ansonsten das Recht auf dessen Anrufung (Urteile des Bundesgerichts 1B_14/2016 vom 2. Februar 2016, E. 2; 1B_101/2011 vom 4. Mai 2011 E. 3.1).</w:t>
      </w:r>
    </w:p>
    <w:p>
      <w:r>
        <w:t>Die den Ausstand begründenden Tatsachen sind dabei glaubhaft zu ma- chen. Die betroffene Person nimmt zum Gesuch Stellung (Art. 58 StPO). Wird ein Ausstandsgrund nach Art. 56 lit. a oder f StPO geltend gemacht oder widersetzt sich eine in einer Strafbehörde tätige Person einem Aus- standsgesuch einer Partei, das sich auf Art. 56 lit. b - e abstützt, so entschei- det ohne weiteres Beweisverfahren und endgültig die Beschwerdekammer des Bundesstrafgerichts, wenn die Bundesanwaltschaft betroffen ist (Art. 59 Abs. 1 lit. b StPO i.V.m. Art. 37 Abs. 1 StBOG). Der Entscheid ergeht schrift- lich und ist zu begründen (Art. 59 Abs. 2 StPO). Bis zum Entscheid übt die betroffene Person ihr Amt weiter aus (Art. 59 Abs. 3 StPO).</w:t>
      </w:r>
    </w:p>
    <w:p>
      <w:r>
        <w:t>Da der Ausstand in einem Spannungsverhältnis zum Anspruch auf den ge- setzlichen Richter steht, muss er eine Ausnahme bleiben, soll die Zuständig- keitsordnung nicht ausgehöhlt werden. Die persönliche Unbefangenheit des gesetzlichen Richters bzw. Staatsanwalts ist deshalb im Grundsatz zu ver- muten; von der regelhaften Zuständigkeitsordnung darf nicht leichthin</w:t>
      </w:r>
    </w:p>
    <w:p>
      <w:r>
        <w:t>- 4 -</w:t>
      </w:r>
    </w:p>
    <w:p>
      <w:r>
        <w:t>abgewichen werden (KELLER, Zürcher Kommentar, 3. Aufl. 2020, Art. 56 StPO N. 9; BOOG, Basler Kommentar, 2. Aufl. 2014, Vor Art. 56 - 60 StPO N. 11; SCHMID SCHMID, Handbuch des schweizerischen Strafprozessrechts, 2013, N. 509).</w:t>
      </w:r>
    </w:p>
    <w:p>
      <w:r>
        <w:rPr>
          <w:b/>
        </w:rPr>
        <w:t>E. 2</w:t>
      </w:r>
    </w:p>
    <w:p>
      <w:r>
        <w:t>Der Gesuchsteller macht keine ausstandsrelevanten Gründe geltend, die ei- nen Ausstand rechtfertigen könnten. Soweit der verfahrensleitende Staats- anwalt aus Sicht des Gesuchstellers einen Ausstandsgrund im Zusammen- hang mit den Schreiben des Gesuchstellers aus dem Jahre 2022 gesetzt haben sollte, wäre das vorliegende Ausstandsgesuch ausserdem offensicht- lich als verspätet einzustufen. Aus den vorstehenden Gründen ist folgerichtig auf das Ausstandsgesuch nicht einzutreten. Selbst wenn darauf eingetreten würde, wäre es aus denselben Gründen abzuweisen.</w:t>
      </w:r>
    </w:p>
    <w:p>
      <w:r>
        <w:rPr>
          <w:b/>
        </w:rPr>
        <w:t>E. 3</w:t>
      </w:r>
    </w:p>
    <w:p>
      <w:r>
        <w:t>Bei diesem Ausgang des Verfahrens wird der Gesuchsteller kostenpflichtig (Art. 428 Abs. 1 StPO). Die Gerichtsgebühr ist auf Fr. 2'000.-- festzusetzen (Art. 73 StBOG i.V.m. Art. 5 und 8 Abs. 1 des Reglements des Bundesstraf- gerichts vom 31. August 2010 über die Kosten, Gebühren und Entschädi- gungen in Bundesstrafverfahren [BStKR; SR 173.713.162]). Der Gesuchstel- ler hat keinen Anspruch auf eine Prozessentschädigung (Art. 429 Abs. 1 Satz 1 i.V.m. Art. 436 Abs. 1 StPO).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