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BB.2023.121 vom 18. Juli 2023</w:t>
      </w:r>
    </w:p>
    <w:p>
      <w:r>
        <w:t>Bundesstrafgericht, 2023-07-18, DE</w:t>
      </w:r>
    </w:p>
    <w:p>
      <w:r>
        <w:rPr>
          <w:b/>
        </w:rPr>
        <w:t xml:space="preserve">Quelle: </w:t>
      </w:r>
      <w:r>
        <w:t>https://mcp.opencaselaw.ch/entscheid/bstger_BB.2023.121</w:t>
      </w:r>
    </w:p>
    <w:p>
      <w:r>
        <w:t>FR: TPF BB.2023.121 du 18 juillet 2023</w:t>
      </w:r>
    </w:p>
    <w:p>
      <w:r>
        <w:t>IT: TPF BB.2023.121 del 18 luglio 2023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Tagen bei der Beschwerdekammer des Bundesstrafgerichts Beschwerde erhoben werden kann (Art. 310 Abs. 2 i.V.m. Art. 322 Abs. 2 StPO und Art. 37 Abs. 1 StBOG; Art. 396 Abs. 1 StPO);</w:t>
      </w:r>
    </w:p>
    <w:p>
      <w:r>
        <w:t>- die vorliegend angefochtene Nichtanhandnahmeverfügung vom 24. Mai 2023 der Beschwerdegegnerin ein zulässiges Anfechtungsobjekt bildet;</w:t>
      </w:r>
    </w:p>
    <w:p>
      <w:r>
        <w:t>- die Nichtanhandnahmeverfügung vom 24. Mai 2023 der Beschwerdeführerin am 12. Juni 2023 zugestellt wurde (act. 5), weshalb sich die Beschwerde als fristgerecht erhoben erweist;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(im Sinne von Art. 115 Abs. 1 StPO) somit grund- sätzlich nur insoweit zur Beschwerde legitimiert ist, als sie sich im Sinne der Art. 118 f. StPO als Privatklägerschaft konstituiert hat bzw. als sie – was gerade bei der Nichtanhandnahmeverfügung der Fall sein kann – noch keine Gelegenheit hatte, sich als Privatklägerschaft zu konstituieren (vgl. hierzu u.a. den Beschluss des Bundesstrafgerichts BB.2022.53 vom 24. Juni 2022 E. 1.3.1 mit Hinweis);</w:t>
      </w:r>
    </w:p>
    <w:p>
      <w:r>
        <w:t>- die Beschwerdegegnerin die Frage der Parteistellung der Beschwerdeführe- rin in der Nichtanhandnahmeverfügung vom 24. Mai 2023 offengelassen hat (act. 1.1, S. 3);</w:t>
      </w:r>
    </w:p>
    <w:p>
      <w:r>
        <w:t>- die Beschwerdegegnerin nur für die Verfolgung und Beurteilung von Delikten zuständig ist, die der Bundesgerichtsbarkeit (vgl. Art. 23 und 24 StPO) un- terstehen;</w:t>
      </w:r>
    </w:p>
    <w:p>
      <w:r>
        <w:t>- die Bundeszuständigkeit in Bezug auf die Anzeige gegen kantonale Behör- denmitglieder und den Vorwurf des Amts- bzw. Machtmissbrauchs und der Ehrverletzungsdelikte nicht gegeben ist;</w:t>
      </w:r>
    </w:p>
    <w:p>
      <w:r>
        <w:t>- eine Bundeszuständigkeit allenfalls in Bezug auf den Vorwurf gegeben wäre, wonach die in der Anzeige erwähnten Personen Sprengstoffdelikte began- gen und private Sachen der Beschwerdeführerin an Tatorten hinterlassen</w:t>
      </w:r>
    </w:p>
    <w:p>
      <w:r>
        <w:t>- 4 -</w:t>
      </w:r>
    </w:p>
    <w:p>
      <w:r>
        <w:t>hätten, um ihr strafbares Verhalten im Zusammenhang mit Sprengstoffdelik- ten anzulasten (vgl. Art. 23 Abs. 1 lit. d StPO i.V.m. Art. 224 StGB und Art. 23 Abs. 1 lit. h StPO i.V.m. Art. 303 StGB);</w:t>
      </w:r>
    </w:p>
    <w:p>
      <w:r>
        <w:t>- die Beschwerdeführerin von den angezeigten Bankomat-Sprengungen und dem Überfall an einen Geldtransporter jedoch nicht betroffen ist und damit nicht als Geschädigte im Sinne von Art. 115 Abs. 1 StPO gelten kann; ihr diesbezüglich Beschwerdelegitimation fehlt, weshalb auf die Beschwerde in diesem Punkt nicht einzutreten ist (vgl. hierzu u.a. BGE 141 IV 380 E. 2.2 S. 382 f.);</w:t>
      </w:r>
    </w:p>
    <w:p>
      <w:r>
        <w:t>- der Beschwerdeführerin lediglich insofern die Beschwerdelegitimation zuzu- sprechen ist, als sie in der Anzeige sinngemäss den Vorwurf der falschen Anschuldigung nach Art. 303 StGB im Zusammenhang mit den angezeigten Sprengstoffdelikten erhebt;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wie die Beschwerdegegnerin in der angefochtenen Nichtanhandnahmever- fügung ausführt, pauschale Schuldzuweisungen, Gerüchte oder Vermutun- gen den Anforderungen an eine Strafanzeige nicht genügen (act. 1.1, S. 3);</w:t>
      </w:r>
    </w:p>
    <w:p>
      <w:r>
        <w:t>- die Ausführungen der Beschwerdeführerin in der Strafanzeige und deren Er- gänzungen lediglich Mutmassungen darstellen, die keinen hinreichenden Anfangsverdacht zu begründen vermögen;</w:t>
      </w:r>
    </w:p>
    <w:p>
      <w:r>
        <w:t>- die Beschwerdeführerin auch weder in der vorliegenden Beschwerde noch in ihrer Eingabe vom 8. Juli 2023 einen hinreichenden Anfangsverdacht in Bezug auf eine Straftat darzulegen vermag, für welche die Bundeszustän- digkeit gegeben wäre;</w:t>
      </w:r>
    </w:p>
    <w:p>
      <w:r>
        <w:t>- die Beschwerdegegnerin nach dem Gesagten zu Recht keine Strafuntersu- chung eröffnet hat;</w:t>
      </w:r>
    </w:p>
    <w:p>
      <w:r>
        <w:t>- sich die Beschwerde gegen die Nichtanhandnahmeverfügung nach dem Ge- sagten als offensichtlich unbegründet erweist, weshalb sie ohne die Durch- führung eines Schriftenwechsels abzuweisen ist, soweit darauf einzutreten ist (Art. 390 Abs. 2 StPO e contrario);</w:t>
      </w:r>
    </w:p>
    <w:p>
      <w:r>
        <w:t>- 5 -</w:t>
      </w:r>
    </w:p>
    <w:p>
      <w:r>
        <w:t>- bei diesem Ausgang des Verfahrens die Gerichtskosten der Beschwerdefüh- rerin aufzuerlegen sind (Art. 428 Abs. 1 StPO);</w:t>
      </w:r>
    </w:p>
    <w:p>
      <w:r>
        <w:t>- die Gerichtskosten auf das gesetzliche Minimum von Fr. 200.-- festzusetzen sind (vgl. Art. 73 StBOG und Art. 5 und 8 Abs. 1 des Reglements des Bun- desstrafgerichts vom 31. August 2010 über die Kosten, Gebühren und Ent- schädigungen in Bundesstrafverfahren [BStKR; SR 173.713.162]).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