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BB.2023.117 vom 22. Juni 2023</w:t>
      </w:r>
    </w:p>
    <w:p>
      <w:r>
        <w:t>Bundesstrafgericht, 2023-06-22, DE</w:t>
      </w:r>
    </w:p>
    <w:p>
      <w:r>
        <w:rPr>
          <w:b/>
        </w:rPr>
        <w:t xml:space="preserve">Quelle: </w:t>
      </w:r>
      <w:r>
        <w:t>https://mcp.opencaselaw.ch/entscheid/bstger_BB.2023.117</w:t>
      </w:r>
    </w:p>
    <w:p>
      <w:r>
        <w:t>FR: TPF BB.2023.117 du 22 juin 2023</w:t>
      </w:r>
    </w:p>
    <w:p>
      <w:r>
        <w:t>IT: TPF BB.2023.117 del 22 giugno 2023</w:t>
      </w:r>
    </w:p>
    <w:p>
      <w:pPr>
        <w:pStyle w:val="Heading2"/>
      </w:pPr>
      <w:r>
        <w:t>Regeste</w:t>
      </w:r>
    </w:p>
    <w:p>
      <w:r>
        <w:t>Beschlagnahme (Art. 263 ff. StPO)</w:t>
      </w:r>
    </w:p>
    <w:p>
      <w:pPr>
        <w:pStyle w:val="Heading2"/>
      </w:pPr>
      <w:r>
        <w:t>Erwägungen</w:t>
      </w:r>
    </w:p>
    <w:p>
      <w:r>
        <w:rPr>
          <w:b/>
        </w:rPr>
        <w:t>E. 1</w:t>
      </w:r>
    </w:p>
    <w:p>
      <w:r>
        <w:t>Die Beschwerde ist zufolge Rückzugs der Beschwerde als erledigt vom Ge- schäftsverzeichnis abzuschreiben.</w:t>
      </w:r>
    </w:p>
    <w:p>
      <w:r>
        <w:rPr>
          <w:b/>
        </w:rPr>
        <w:t>E. 2</w:t>
      </w:r>
    </w:p>
    <w:p>
      <w:r>
        <w:t>Der Beschwerdeführer hat die Beschwerde persönlich und in guten Treuen eingereicht, da er seine Geräte wieder benötigte. Er hat sie in einem sehr frühen Verfahrensstadium zurückgezogen. Die vorliegende Beschwerde ist offensichtlich nicht zielführend und sie hätte nicht zwingend ein formelles Be- schwerdeverfahren erfordert. Es sind vorliegend keine Kosten zu erheben.</w:t>
      </w:r>
    </w:p>
    <w:p>
      <w:r>
        <w:t>- 3 -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