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BB.2022.92 vom 22. September 2022</w:t>
      </w:r>
    </w:p>
    <w:p>
      <w:r>
        <w:t>Bundesstrafgericht, 2022-09-22, DE</w:t>
      </w:r>
    </w:p>
    <w:p>
      <w:r>
        <w:rPr>
          <w:b/>
        </w:rPr>
        <w:t xml:space="preserve">Quelle: </w:t>
      </w:r>
      <w:r>
        <w:t>https://mcp.opencaselaw.ch/entscheid/bstger_BB.2022.92</w:t>
      </w:r>
    </w:p>
    <w:p>
      <w:r>
        <w:t>FR: TPF BB.2022.92 du 22 septembre 2022</w:t>
      </w:r>
    </w:p>
    <w:p>
      <w:r>
        <w:t>IT: TPF BB.2022.92 del 22 settembre 2022</w:t>
      </w:r>
    </w:p>
    <w:p>
      <w:pPr>
        <w:pStyle w:val="Heading2"/>
      </w:pPr>
      <w:r>
        <w:t>Regeste</w:t>
      </w:r>
    </w:p>
    <w:p>
      <w:r>
        <w:t>Rechtsverweigerung / Rechtsverzögerung (Art. 393 Abs. 2 lit. a StPO)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und 29. März 2021 an die Staatsanwaltschaft des Kantons Zürich weiter- geleitet habe, was dem Beschwerdeführer mit Schreiben vom 15. Septem- ber 2021 mitgeteilt worden sei (act. 1 S. 6);</w:t>
      </w:r>
    </w:p>
    <w:p>
      <w:r>
        <w:t>- somit die Bundesanwaltschaft den Ausführungen des Beschwerdeführers zufolge hinsichtlich der Eingaben vom 31. Januar, 16. Februar, 23. und 29. März 2021 erklärt hatte, zu deren Behandlung nicht zuständig zu sein;</w:t>
      </w:r>
    </w:p>
    <w:p>
      <w:r>
        <w:t>- mithin eine Untätigkeit der Bundesanwaltschaft und damit eine formelle Rechtsverweigerung im engeren Sinne nicht vorliegt;</w:t>
      </w:r>
    </w:p>
    <w:p>
      <w:r>
        <w:t>- sich die Beschwerde damit als offensichtlich unzulässig erweist und ohne Schriftenwechsel abzuweisen ist;</w:t>
      </w:r>
    </w:p>
    <w:p>
      <w:r>
        <w:t>- 4 -</w:t>
      </w:r>
    </w:p>
    <w:p>
      <w:r>
        <w:t>- bei diesem Ausgang des Verfahrens die Gerichtkosten dem Beschwerdefüh- rer aufzuerlegen sind (Art. 428 Abs. 1 StPO) und die Gerichtsgebühr auf Fr. 200.-- festzusetzen ist (vgl. Art. 73 StBOG und Art. 5 und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