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BB.2022.89 vom 5. September 2022</w:t>
      </w:r>
    </w:p>
    <w:p>
      <w:r>
        <w:t>Bundesstrafgericht, 2022-09-05, DE</w:t>
      </w:r>
    </w:p>
    <w:p>
      <w:r>
        <w:rPr>
          <w:b/>
        </w:rPr>
        <w:t xml:space="preserve">Quelle: </w:t>
      </w:r>
      <w:r>
        <w:t>https://mcp.opencaselaw.ch/entscheid/bstger_BB.2022.89</w:t>
      </w:r>
    </w:p>
    <w:p>
      <w:r>
        <w:t>FR: TPF BB.2022.89 du 5 septembre 2022</w:t>
      </w:r>
    </w:p>
    <w:p>
      <w:r>
        <w:t>IT: TPF BB.2022.89 del 5 settembre 2022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393 Abs. 1 lit. a StPO (i.V.m. Art. 20 Abs. 1 lit. b StPO und Art. 37 Abs. 1 StBOG) kann gegen Verfügungen und Verfahrenshandlungen der Bundesanwaltschaft bei der Beschwerdekammer des Bundesstrafge- richts Beschwerde erhoben werden. Art. 393 StPO liegt – wie Art. 86 BGG (vgl. Urteil des Bundesgerichts 2C_674/2019 vom 29. Juli 2019 E. 2.2) – der Gedanke zugrunde, dass die Beschwerdekammer mit einer Angelegenheit nicht befasst werden soll, wenn die erhobenen Rügen vollumfänglich einer ihrer Vorinstanzen wirksam vorgetragen werden können. Der Beschwerde- führer bestreitet nicht, dass die Beschwerdegegnerin der B. GmbH Frist zur Stellung des Gesuches gesetzt hat und dass diese unbenutzt verstreichen sei. Durch seine Erläuterungen laufen die Vorbringen des Beschwerdefüh- rers auf die Geltendmachung eines Fristwiederherstellungsgrundes hinaus. Mit einem Fristwiederherstellungsgesuch gemäss Art. 94 StPO bei der Be- hörde, bei welcher die versäumte Verfahrenshandlung hätte vorgenommen werden sollen, können diesbezügliche Entschuldigungsgründe wirksam vor- gebracht werden. Wenn wie vorliegend keine über das Thema Fristversäum- nis hinausgehende Rügen betreffend die Rechtmässigkeit der angefochte- nen Verfügung erhoben werden (können), ist grundsätzlich zuerst von die- sem speziellen Rechtsbehelf Gebrauch zu machen, bevor der Weg an die Beschwerdekammer beschritten wird (vgl. Urteil des Bundesgerichts</w:t>
      </w:r>
    </w:p>
    <w:p>
      <w:r>
        <w:t>- 4 -</w:t>
      </w:r>
    </w:p>
    <w:p>
      <w:r>
        <w:t>2C_674/2019 vom 29. Juli 2019 E. 2.2). Nach dem Gesagten ist auf die Be- schwerde nicht einzutreten und sind die vorliegenden Eingaben zuständig- keitshalber an die Beschwerdegegnerin – die für das fragliche Fristwieder- herstellungsgesuch zuständige Behörde – weiterzuleiten.</w:t>
      </w:r>
    </w:p>
    <w:p>
      <w:r>
        <w:rPr>
          <w:b/>
        </w:rPr>
        <w:t>E. 2</w:t>
      </w:r>
    </w:p>
    <w:p>
      <w:r>
        <w:t>Auf die Erhebung einer Gerichtsgebühr ist zu verzichten (Art. 5 BStKR).</w:t>
      </w:r>
    </w:p>
    <w:p>
      <w:r>
        <w:rPr>
          <w:b/>
        </w:rPr>
        <w:t>E. 3</w:t>
      </w:r>
    </w:p>
    <w:p>
      <w:r>
        <w:t>Dieser Beschluss kann gestützt auf Art. IIIA lit. a des Vertrags vom 13. No- vember 1969 zwischen der Schweizerischen Eidgenossenschaft und der Bundesrepublik Deutschland über die Ergänzung des Europäischen Über- einkommens über die Rechtshilfe in Strafsachen vom 20. April 1959 und die Erleichterung seiner Anwendung (SR 0.351.913.61) unmittelbar durch die Post an den Beschwerdeführer in Deutschland übersendet werden.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