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BB.2022.87 vom 26. Juli 2022</w:t>
      </w:r>
    </w:p>
    <w:p>
      <w:r>
        <w:t>Bundesstrafgericht, 2022-07-26, FR</w:t>
      </w:r>
    </w:p>
    <w:p>
      <w:r>
        <w:rPr>
          <w:b/>
        </w:rPr>
        <w:t xml:space="preserve">Quelle: </w:t>
      </w:r>
      <w:r>
        <w:t>https://mcp.opencaselaw.ch/entscheid/bstger_BB.2022.87</w:t>
      </w:r>
    </w:p>
    <w:p>
      <w:r>
        <w:t>FR: TPF BB.2022.87 du 26 juillet 2022</w:t>
      </w:r>
    </w:p>
    <w:p>
      <w:r>
        <w:t>IT: TPF BB.2022.87 del 26 luglio 2022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août 2015; BB.2014.130 du 3 novembre 2014), sans procéder à l’échange d’écritures (art. 390 al. 2 CPP a contrario);</w:t>
      </w:r>
    </w:p>
    <w:p>
      <w:r>
        <w:t>que conformément à l’art. 428 al. 1 CPP, les frais de la procédure de recours sont mis à la charge des parties dans la mesure où elles ont obtenu gain de cause ou succombé; que la partie dont le recours est déclaré irrecevable est également considérée avoir succombé;</w:t>
      </w:r>
    </w:p>
    <w:p>
      <w:r>
        <w:t>qu’en l’espèce les frais de la présente procédure sont fixés au minimum légal de CHF 200.-- et mis à la charge du recourant (art. 5 et 8 al. 1 du règlement du Tribunal pénal fédéral sur les frais, émoluments, dépens et indemnités de la procédure pénale fédérale [RFPPF; RS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