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BB.2022.77 vom 19. August 2022</w:t>
      </w:r>
    </w:p>
    <w:p>
      <w:r>
        <w:t>Bundesstrafgericht, 2022-08-19, FR</w:t>
      </w:r>
    </w:p>
    <w:p>
      <w:r>
        <w:rPr>
          <w:b/>
        </w:rPr>
        <w:t xml:space="preserve">Quelle: </w:t>
      </w:r>
      <w:r>
        <w:t>https://mcp.opencaselaw.ch/entscheid/bstger_BB.2022.77</w:t>
      </w:r>
    </w:p>
    <w:p>
      <w:r>
        <w:t>FR: TPF BB.2022.77 du 19 août 2022</w:t>
      </w:r>
    </w:p>
    <w:p>
      <w:r>
        <w:t>IT: TPF BB.2022.77 del 19 agosto 2022</w:t>
      </w:r>
    </w:p>
    <w:p>
      <w:pPr>
        <w:pStyle w:val="Heading2"/>
      </w:pPr>
      <w:r>
        <w:t>Regeste</w:t>
      </w:r>
    </w:p>
    <w:p>
      <w:r>
        <w:t>Récusation du tribunal de première instance (art. 59 al. 1 let. b en lien avec l'art. 56 CPP)</w:t>
      </w:r>
    </w:p>
    <w:p>
      <w:pPr>
        <w:pStyle w:val="Heading2"/>
      </w:pPr>
      <w:r>
        <w:t>Erwägungen</w:t>
      </w:r>
    </w:p>
    <w:p>
      <w:r>
        <w:rPr>
          <w:b/>
        </w:rPr>
        <w:t>E. 17</w:t>
      </w:r>
    </w:p>
    <w:p>
      <w:r>
        <w:t>juin 2022 et notifiée au requérant le 20 juin 2022, à 8h10 (act. 2);</w:t>
      </w:r>
    </w:p>
    <w:p>
      <w:r>
        <w:t> dès lors, l’intimée n’exerçait plus sa fonction de directeur de la procédure SK.2022.22 lorsque, en date du 20 juin 2022, le requérant a demandé sa récusation;</w:t>
      </w:r>
    </w:p>
    <w:p>
      <w:r>
        <w:t> la requête en ce sens se trouve ainsi dépourvue d’objet puisqu’il n’est matériellement pas possible de prononcer la récusation d’un juge qui n’est plus en charge de la procédure au moment où ladite récusation est requise (v. décision du Tribunal pénal fédéral BB.2019.226 du 11 mars 2020 consid. 1.2);</w:t>
      </w:r>
    </w:p>
    <w:p>
      <w:r>
        <w:t> en outre, la question de l’intérêt au constat de l’éventuelle partialité de la juge présidente concernée ne se pose pas dès lors qu’aucun acte de procédure n’a été ordonné dans le cadre de la cause SK.2022.22 et qu’il ne s’agissait que d’une rectification du rubrum du jugement du 23 avril 2021;</w:t>
      </w:r>
    </w:p>
    <w:p>
      <w:r>
        <w:t> la Cour de céans relève au surplus que l’un des motifs de récusation invoqué par l’intéressé, à savoir les soupçons de prévention de la juge intimée à son endroit, n’est pas nouveau; de tels soupçons sont effectivement régulièrement invoqués depuis plusieurs années dans le cadre des nombreux recours interjetés par le requérant auprès de la présente Cour;</w:t>
      </w:r>
    </w:p>
    <w:p>
      <w:r>
        <w:t> enfin, à titre superfétatoire, et pour répondre à l’argumentation développée par le requérant s’agissant de la plainte pénale qu’il a déposée à l’encontre, notamment, de la juge intimée, la Cour de céans rappelle que le seul dépôt d'une plainte ou d'une dénonciation contre un juge ou un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(v. ATF 134 I 20 consid. 4.3.2 et les réf. citées; arrêts du Tribunal fédéral 1B_305/2019 du 26 novembre 2019 consid. 3.2.3);</w:t>
      </w:r>
    </w:p>
    <w:p>
      <w:r>
        <w:t> au vu de ce qui précède, force est de constater que la demande de récusation est sans objet;</w:t>
      </w:r>
    </w:p>
    <w:p>
      <w:r>
        <w:t> conformément à l’art. 390 al. 2 CPP a contrario, la Cour de céans a renoncé à procéder à un échange d’écritures;</w:t>
      </w:r>
    </w:p>
    <w:p>
      <w:r>
        <w:t>- 4 -</w:t>
      </w:r>
    </w:p>
    <w:p>
      <w:r>
        <w:t> vu le sort de la cause, il incombe au requérant de supporter les frais de la présente procédure qui seront fixés à CHF 2'000.-- (v. art. 428 al. 1 CPP; art. 73 LOAP en lien avec les art. 5 et 8 du règlement du 31 août 2010 du Tribunal pénal fédéral sur les frais, émoluments, dépens et indemnités de la procédure pénale fédérale [RFPPF; RS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