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BB.2022.67 vom 14. Juni 2022</w:t>
      </w:r>
    </w:p>
    <w:p>
      <w:r>
        <w:t>Bundesstrafgericht, 2022-06-14, FR</w:t>
      </w:r>
    </w:p>
    <w:p>
      <w:r>
        <w:rPr>
          <w:b/>
        </w:rPr>
        <w:t xml:space="preserve">Quelle: </w:t>
      </w:r>
      <w:r>
        <w:t>https://mcp.opencaselaw.ch/entscheid/bstger_BB.2022.67</w:t>
      </w:r>
    </w:p>
    <w:p>
      <w:r>
        <w:t>FR: TPF BB.2022.67 du 14 juin 2022</w:t>
      </w:r>
    </w:p>
    <w:p>
      <w:r>
        <w:t>IT: TPF BB.2022.67 del 14 giugno 2022</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1.2.1</w:t>
      </w:r>
    </w:p>
    <w:p>
      <w:r>
        <w:t>p. 246).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p. 565).</w:t>
      </w:r>
    </w:p>
    <w:p>
      <w:r>
        <w:rPr>
          <w:b/>
        </w:rPr>
        <w:t>E. 1.2.2</w:t>
      </w:r>
    </w:p>
    <w:p>
      <w:r>
        <w:t>En l’espèce, l’acte entrepris, par lequel le MPC renvoie  même tacitement, en tant qu’il s’y réfère à sa lettre du 6 avril 2022, par laquelle il renvoyait à sa décision du 11 janvier 2022 (v. supra Faits, let. C et E)  à ses précédentes décisions refusant à la recourante l’accès à certaines pièces du dossier est une décision de refus implicite de consultation du dossier requise par la recourante le 29 avril 2022. La voie du recours des art. 393 ss CPP est par conséquent ouverte.</w:t>
      </w:r>
    </w:p>
    <w:p>
      <w:r>
        <w:rPr>
          <w:b/>
        </w:rPr>
        <w:t>E. 1.3</w:t>
      </w:r>
    </w:p>
    <w:p>
      <w:r>
        <w:t>Toute partie qui a un intérêt juridiquement protégé à l’annulation ou à la modification d’une décision dispose de la qualité pour recourir contre celle- ci (art. 382 al. 1 CPP). Prévenue, la recourante est directement touchée dans ses droits par le refus de consulter le dossier de sa cause, de sorte que sa</w:t>
      </w:r>
    </w:p>
    <w:p>
      <w:r>
        <w:t>- 4 -</w:t>
      </w:r>
    </w:p>
    <w:p>
      <w:r>
        <w:t>qualité pour agir doit être admise.</w:t>
      </w:r>
    </w:p>
    <w:p>
      <w:r>
        <w:rPr>
          <w:b/>
        </w:rPr>
        <w:t>E. 1.4</w:t>
      </w:r>
    </w:p>
    <w:p>
      <w:r>
        <w:t>Déposé le 30 mai 2022, contre une décision datée du 19 mai 2022 et notifiée le lendemain, le recours l’a été en temps utile (art. 396 al. 1 CPP).</w:t>
      </w:r>
    </w:p>
    <w:p>
      <w:r>
        <w:rPr>
          <w:b/>
        </w:rPr>
        <w:t>E. 1.5</w:t>
      </w:r>
    </w:p>
    <w:p>
      <w:r>
        <w:t>Il y a donc lieu d’entrer en matière.</w:t>
      </w:r>
    </w:p>
    <w:p>
      <w:r>
        <w:rPr>
          <w:b/>
        </w:rPr>
        <w:t>E. 2.1</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w:t>
      </w:r>
    </w:p>
    <w:p>
      <w:r>
        <w:rPr>
          <w:b/>
        </w:rPr>
        <w:t>E. 2.2</w:t>
      </w:r>
    </w:p>
    <w:p>
      <w:r>
        <w:t>Le droit d'être entendu garanti à l'art. 29 al. 2 Cst. implique également le devoir pour l'autorité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p. 109; 143 III 65 consid. 5.2 p. 70 s.; 141 IV 244 consid.</w:t>
      </w:r>
    </w:p>
    <w:p>
      <w:r>
        <w:rPr>
          <w:b/>
        </w:rPr>
        <w:t>E. 2.3</w:t>
      </w:r>
    </w:p>
    <w:p>
      <w:r>
        <w:t>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w:t>
      </w:r>
    </w:p>
    <w:p>
      <w:r>
        <w:t>- 5 -</w:t>
      </w:r>
    </w:p>
    <w:p>
      <w:r>
        <w:t>allongement inutile de la procédure, ce qui serait incompatible avec l'intérêt de la partie concernée à ce que sa cause soit tranchée dans un délai raisonnable (ATF 145 I 167 consid. 4.4; 142 II 218 consid. 2.8.1. et les références citées).</w:t>
      </w:r>
    </w:p>
    <w:p>
      <w:r>
        <w:rPr>
          <w:b/>
        </w:rPr>
        <w:t>E. 2.4</w:t>
      </w:r>
    </w:p>
    <w:p>
      <w:r>
        <w:t>En procédure pénale, l’accès au dossier est garanti aux parties de manière générale par l’art. 107 al. 1 let. a CPP. L’art. 101 al. 1 CPP précise que les parties peuvent consulter le dossier d’une procédure pénale pendante, au plus tard après la première audition du prévenu et l’administration des preuves principales par le ministère public, l’art. 108 CPP étant réservé. Les parties sont en droit de consulter toutes les pièces du dossier (MOREILLON/PAREIN-REYMOND, Petit commentaire, 2e éd. 2016, n. 3 ad art. 101 CPP). Les restrictions que le ministère public peut ordonner, d'office ou sur requête d'une des parties (art. 109 CPP), sont soumises à des conditions particulières et limitées dans le temps (art. 108 CPP; LIEBER, Zürcher Kommentar, op. cit., n. 12 ad art. 108 CPP), toutes les parties devant avoir en principe le droit de consulter le dossier au plus tard lors de la phase de clôture de l'instruction (art. 318 CPP; GRODECKI/CORNU, Commentaire romand, 2e éd. 2019, n. 11 ad art. 318 CPP). Ledit accès peut ainsi être restreint aux conditions fixées par l'art. 108 CPP, soit notamment lorsque cela est nécessaire pour assurer la sécurité de personnes ou pour protéger des intérêts publics ou privés au maintien du secret.</w:t>
      </w:r>
    </w:p>
    <w:p>
      <w:r>
        <w:rPr>
          <w:b/>
        </w:rPr>
        <w:t>E. 2.5</w:t>
      </w:r>
    </w:p>
    <w:p>
      <w:r>
        <w:t>Conformément aux principes de célérité (art. 5 CPP) et de l’instruction (art.</w:t>
      </w:r>
    </w:p>
    <w:p>
      <w:r>
        <w:rPr>
          <w:b/>
        </w:rPr>
        <w:t>E. 2.6</w:t>
      </w:r>
    </w:p>
    <w:p>
      <w:r>
        <w:t>Ainsi, en l’espèce, la décision entreprise de refus de consultation du dossier (v. supra consid. 1.2.2), en se contentant, pour toute motivation, de renvoyer à des prononcés précédents, pour l’un datant de plus de deux ans et demi, soit un laps de temps considérable, même s’agissant d’une instruction d’une certaine durée, pour un autre, de quelques 20 mois et, pour le dernier, de cinq mois, viole de manière crasse le droit d’être entendu de la recourante. La gravité de la violation empêche sa réparation par la Cour de céans (v. supra consid. 2.2).</w:t>
      </w:r>
    </w:p>
    <w:p>
      <w:r>
        <w:t>- 6 -</w:t>
      </w:r>
    </w:p>
    <w:p>
      <w:r>
        <w:t>3. Partant, le recours est admis et la cause renvoyée à l’autorité inférieure, pour nouvelle décision au sens des considérants qui précèdent.</w:t>
      </w:r>
    </w:p>
    <w:p>
      <w:r>
        <w:t>4.</w:t>
      </w:r>
    </w:p>
    <w:p>
      <w:r>
        <w:t>4.1 Compte tenu de l'issue du recours, les frais de la présente cause sont pris en charge par la caisse de l'Etat (art. 428 al. 4 et 423 al. 1 CPP). 4.2 La partie qui obtient gain de cause a droit à une indemnité pour les dépenses occasionnées par l'exercice raisonnable de ses droits de procédure (art. 436 al. 1 en lien avec l'art. 429 al. 1 let. a CPP). En l'espèce, le conseil de la recourante n'a pas produit de liste des opérations effectuées. Dans les limites admises par le règlement du Tribunal pénal fédéral du 31 août 2010 sur les frais, émoluments, dépens, et indemnités de la procédure pénale fédérale (RFPPF; RS 173.713.162), l'indemnité est fixée ex aequo et bono à CHF 1’500.--, à charge de l’autorité intimée.</w:t>
      </w:r>
    </w:p>
    <w:p>
      <w:r>
        <w:t>- 7 -</w:t>
      </w:r>
    </w:p>
    <w:p>
      <w:r>
        <w:rPr>
          <w:b/>
        </w:rPr>
        <w:t>E. 6</w:t>
      </w:r>
    </w:p>
    <w:p>
      <w:r>
        <w:t>CPP), à compter de son ouverture et jusqu’à sa clôture, la procédure d’instruction et, partant, le dossier de la cause, sont en constante évolution dans le temps. Il en va de même des éventuels motifs de restriction de consultation du dossier (v. supra consid. 2.4). Il en découle, comme c’est d’ailleurs le cas en matière de séquestre et de détention provisoire, qu’une demande d’accès au dossier peut être (re)formulée en tout temps, sous réserve d’abus manifestes, et qu’un éventuel refus d’accès au dossier opposé à une partie à un stade de l’instruction ne le sera pas de facto et/ou pour les mêmes motifs, en cas de nouvelle requête, à un stade ultérieur.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